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6F8E" w14:textId="06D7D314" w:rsidR="00B8034C" w:rsidRPr="003A7BD2" w:rsidRDefault="003A7BD2" w:rsidP="003A7BD2">
      <w:pPr>
        <w:jc w:val="center"/>
        <w:rPr>
          <w:b/>
          <w:bCs/>
          <w:sz w:val="40"/>
          <w:szCs w:val="40"/>
        </w:rPr>
      </w:pPr>
      <w:r w:rsidRPr="00A910CD">
        <w:rPr>
          <w:rFonts w:ascii="Times New Roman" w:hAnsi="Times New Roman" w:cs="Times New Roman"/>
          <w:b/>
          <w:bCs/>
          <w:sz w:val="40"/>
          <w:szCs w:val="40"/>
        </w:rPr>
        <w:t>Azione collettiva pubblica</w:t>
      </w:r>
      <w:r w:rsidR="00BC411C" w:rsidRPr="00A910CD">
        <w:rPr>
          <w:rFonts w:ascii="Times New Roman" w:hAnsi="Times New Roman" w:cs="Times New Roman"/>
          <w:b/>
          <w:bCs/>
          <w:sz w:val="40"/>
          <w:szCs w:val="40"/>
        </w:rPr>
        <w:t xml:space="preserve"> e la sua correlazione con gli strumenti di </w:t>
      </w:r>
      <w:r w:rsidR="00BC411C" w:rsidRPr="00A910C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Alternative Dispute </w:t>
      </w:r>
      <w:proofErr w:type="spellStart"/>
      <w:r w:rsidR="00BC411C" w:rsidRPr="00A910CD">
        <w:rPr>
          <w:rFonts w:ascii="Times New Roman" w:hAnsi="Times New Roman" w:cs="Times New Roman"/>
          <w:b/>
          <w:bCs/>
          <w:i/>
          <w:iCs/>
          <w:sz w:val="40"/>
          <w:szCs w:val="40"/>
        </w:rPr>
        <w:t>Resolutions</w:t>
      </w:r>
      <w:proofErr w:type="spellEnd"/>
      <w:r w:rsidR="003C6A50" w:rsidRPr="00A910CD">
        <w:rPr>
          <w:rFonts w:ascii="Times New Roman" w:hAnsi="Times New Roman" w:cs="Times New Roman"/>
          <w:b/>
          <w:bCs/>
          <w:sz w:val="40"/>
          <w:szCs w:val="40"/>
        </w:rPr>
        <w:t>: verso una cultura della conciliazione e della giustizia di prossimità</w:t>
      </w:r>
      <w:r w:rsidR="003C6A50">
        <w:rPr>
          <w:b/>
          <w:bCs/>
          <w:sz w:val="40"/>
          <w:szCs w:val="40"/>
        </w:rPr>
        <w:t>.</w:t>
      </w:r>
    </w:p>
    <w:p w14:paraId="0006CD64" w14:textId="69EEA3E3" w:rsidR="003A7BD2" w:rsidRDefault="003A7BD2" w:rsidP="003A7BD2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3A7BD2">
        <w:rPr>
          <w:rFonts w:ascii="Times New Roman" w:hAnsi="Times New Roman" w:cs="Times New Roman"/>
          <w:sz w:val="36"/>
          <w:szCs w:val="36"/>
        </w:rPr>
        <w:t>La nozione di azione collettiva pubblica va definita nel nostro ordinamento tenendo ben presente la sua derivazione</w:t>
      </w:r>
      <w:r>
        <w:rPr>
          <w:rFonts w:ascii="Times New Roman" w:hAnsi="Times New Roman" w:cs="Times New Roman"/>
          <w:sz w:val="36"/>
          <w:szCs w:val="36"/>
        </w:rPr>
        <w:t xml:space="preserve"> culturale </w:t>
      </w:r>
      <w:r w:rsidRPr="003A7BD2">
        <w:rPr>
          <w:rFonts w:ascii="Times New Roman" w:hAnsi="Times New Roman" w:cs="Times New Roman"/>
          <w:sz w:val="36"/>
          <w:szCs w:val="36"/>
        </w:rPr>
        <w:t xml:space="preserve"> dalla </w:t>
      </w:r>
      <w:r w:rsidRPr="003A7BD2">
        <w:rPr>
          <w:rFonts w:ascii="Times New Roman" w:hAnsi="Times New Roman" w:cs="Times New Roman"/>
          <w:i/>
          <w:iCs/>
          <w:sz w:val="36"/>
          <w:szCs w:val="36"/>
        </w:rPr>
        <w:t>class action</w:t>
      </w:r>
      <w:r w:rsidRPr="003A7BD2">
        <w:rPr>
          <w:rFonts w:ascii="Times New Roman" w:hAnsi="Times New Roman" w:cs="Times New Roman"/>
          <w:sz w:val="36"/>
          <w:szCs w:val="36"/>
        </w:rPr>
        <w:t xml:space="preserve"> de</w:t>
      </w:r>
      <w:r w:rsidR="00E2409B">
        <w:rPr>
          <w:rFonts w:ascii="Times New Roman" w:hAnsi="Times New Roman" w:cs="Times New Roman"/>
          <w:sz w:val="36"/>
          <w:szCs w:val="36"/>
        </w:rPr>
        <w:t>l</w:t>
      </w:r>
      <w:r w:rsidRPr="003A7BD2">
        <w:rPr>
          <w:rFonts w:ascii="Times New Roman" w:hAnsi="Times New Roman" w:cs="Times New Roman"/>
          <w:sz w:val="36"/>
          <w:szCs w:val="36"/>
        </w:rPr>
        <w:t xml:space="preserve"> sistem</w:t>
      </w:r>
      <w:r>
        <w:rPr>
          <w:rFonts w:ascii="Times New Roman" w:hAnsi="Times New Roman" w:cs="Times New Roman"/>
          <w:sz w:val="36"/>
          <w:szCs w:val="36"/>
        </w:rPr>
        <w:t xml:space="preserve">a nord-americano. La </w:t>
      </w:r>
      <w:proofErr w:type="spellStart"/>
      <w:r w:rsidRPr="003A7BD2">
        <w:rPr>
          <w:rFonts w:ascii="Times New Roman" w:hAnsi="Times New Roman" w:cs="Times New Roman"/>
          <w:i/>
          <w:iCs/>
          <w:sz w:val="36"/>
          <w:szCs w:val="36"/>
        </w:rPr>
        <w:t>rapresentative</w:t>
      </w:r>
      <w:proofErr w:type="spellEnd"/>
      <w:r w:rsidRPr="003A7BD2">
        <w:rPr>
          <w:rFonts w:ascii="Times New Roman" w:hAnsi="Times New Roman" w:cs="Times New Roman"/>
          <w:i/>
          <w:iCs/>
          <w:sz w:val="36"/>
          <w:szCs w:val="36"/>
        </w:rPr>
        <w:t xml:space="preserve"> action</w:t>
      </w:r>
      <w:r>
        <w:rPr>
          <w:rFonts w:ascii="Times New Roman" w:hAnsi="Times New Roman" w:cs="Times New Roman"/>
          <w:sz w:val="36"/>
          <w:szCs w:val="36"/>
        </w:rPr>
        <w:t xml:space="preserve"> è, i</w:t>
      </w:r>
      <w:r w:rsidR="00ED1868">
        <w:rPr>
          <w:rFonts w:ascii="Times New Roman" w:hAnsi="Times New Roman" w:cs="Times New Roman"/>
          <w:sz w:val="36"/>
          <w:szCs w:val="36"/>
        </w:rPr>
        <w:t>nfatti, da definirsi come azione</w:t>
      </w:r>
      <w:r>
        <w:rPr>
          <w:rFonts w:ascii="Times New Roman" w:hAnsi="Times New Roman" w:cs="Times New Roman"/>
          <w:sz w:val="36"/>
          <w:szCs w:val="36"/>
        </w:rPr>
        <w:t xml:space="preserve"> di categoria o gruppo, caratteristica del sistema processuale federale nord-americano, che non trova corrispondenza né nella </w:t>
      </w:r>
      <w:proofErr w:type="spellStart"/>
      <w:r w:rsidRPr="003A7BD2">
        <w:rPr>
          <w:rFonts w:ascii="Times New Roman" w:hAnsi="Times New Roman" w:cs="Times New Roman"/>
          <w:i/>
          <w:iCs/>
          <w:sz w:val="36"/>
          <w:szCs w:val="36"/>
        </w:rPr>
        <w:t>civil</w:t>
      </w:r>
      <w:proofErr w:type="spellEnd"/>
      <w:r w:rsidRPr="003A7BD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3A7BD2">
        <w:rPr>
          <w:rFonts w:ascii="Times New Roman" w:hAnsi="Times New Roman" w:cs="Times New Roman"/>
          <w:i/>
          <w:iCs/>
          <w:sz w:val="36"/>
          <w:szCs w:val="36"/>
        </w:rPr>
        <w:t>law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Pr="003A7BD2">
        <w:rPr>
          <w:rFonts w:ascii="Times New Roman" w:hAnsi="Times New Roman" w:cs="Times New Roman"/>
          <w:sz w:val="36"/>
          <w:szCs w:val="36"/>
        </w:rPr>
        <w:t xml:space="preserve">né </w:t>
      </w:r>
      <w:r>
        <w:rPr>
          <w:rFonts w:ascii="Times New Roman" w:hAnsi="Times New Roman" w:cs="Times New Roman"/>
          <w:sz w:val="36"/>
          <w:szCs w:val="36"/>
        </w:rPr>
        <w:t>, se non in parte, nell’ordinamento</w:t>
      </w:r>
      <w:r w:rsidR="00FE6539">
        <w:rPr>
          <w:rFonts w:ascii="Times New Roman" w:hAnsi="Times New Roman" w:cs="Times New Roman"/>
          <w:sz w:val="36"/>
          <w:szCs w:val="36"/>
        </w:rPr>
        <w:t xml:space="preserve"> inglese. Quanto a quest’ultimo</w:t>
      </w:r>
      <w:r>
        <w:rPr>
          <w:rFonts w:ascii="Times New Roman" w:hAnsi="Times New Roman" w:cs="Times New Roman"/>
          <w:sz w:val="36"/>
          <w:szCs w:val="36"/>
        </w:rPr>
        <w:t xml:space="preserve">, va osservato che, nell’ambito degli </w:t>
      </w:r>
      <w:proofErr w:type="spellStart"/>
      <w:r w:rsidRPr="003A7BD2">
        <w:rPr>
          <w:rFonts w:ascii="Times New Roman" w:hAnsi="Times New Roman" w:cs="Times New Roman"/>
          <w:i/>
          <w:iCs/>
          <w:sz w:val="36"/>
          <w:szCs w:val="36"/>
        </w:rPr>
        <w:t>analogues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Pr="003A7BD2">
        <w:rPr>
          <w:rFonts w:ascii="Times New Roman" w:hAnsi="Times New Roman" w:cs="Times New Roman"/>
          <w:sz w:val="36"/>
          <w:szCs w:val="36"/>
        </w:rPr>
        <w:t>la prima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non va confusa con la </w:t>
      </w:r>
      <w:r w:rsidRPr="00E7285A">
        <w:rPr>
          <w:rFonts w:ascii="Times New Roman" w:hAnsi="Times New Roman" w:cs="Times New Roman"/>
          <w:i/>
          <w:iCs/>
          <w:sz w:val="36"/>
          <w:szCs w:val="36"/>
        </w:rPr>
        <w:t xml:space="preserve">relator action </w:t>
      </w:r>
      <w:r w:rsidR="00E7285A">
        <w:rPr>
          <w:rFonts w:ascii="Times New Roman" w:hAnsi="Times New Roman" w:cs="Times New Roman"/>
          <w:sz w:val="36"/>
          <w:szCs w:val="36"/>
        </w:rPr>
        <w:t xml:space="preserve">soggetta all’intervento del </w:t>
      </w:r>
      <w:r w:rsidR="00E7285A" w:rsidRPr="00E7285A">
        <w:rPr>
          <w:rFonts w:ascii="Times New Roman" w:hAnsi="Times New Roman" w:cs="Times New Roman"/>
          <w:i/>
          <w:iCs/>
          <w:sz w:val="36"/>
          <w:szCs w:val="36"/>
        </w:rPr>
        <w:t xml:space="preserve">General </w:t>
      </w:r>
      <w:proofErr w:type="spellStart"/>
      <w:r w:rsidR="00E7285A" w:rsidRPr="00E7285A">
        <w:rPr>
          <w:rFonts w:ascii="Times New Roman" w:hAnsi="Times New Roman" w:cs="Times New Roman"/>
          <w:i/>
          <w:iCs/>
          <w:sz w:val="36"/>
          <w:szCs w:val="36"/>
        </w:rPr>
        <w:t>Attorney</w:t>
      </w:r>
      <w:proofErr w:type="spellEnd"/>
      <w:r w:rsidR="00E7285A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4BA5C93A" w14:textId="492DC8DC" w:rsidR="00C41448" w:rsidRPr="00C31D07" w:rsidRDefault="00BC411C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3807BC">
        <w:rPr>
          <w:rFonts w:ascii="Times New Roman" w:hAnsi="Times New Roman" w:cs="Times New Roman"/>
          <w:sz w:val="36"/>
          <w:szCs w:val="36"/>
        </w:rPr>
        <w:t xml:space="preserve">Nell’ambito dello studio sistematico degli strumenti </w:t>
      </w:r>
      <w:r w:rsidR="008B6507" w:rsidRPr="003807BC">
        <w:rPr>
          <w:rFonts w:ascii="Times New Roman" w:hAnsi="Times New Roman" w:cs="Times New Roman"/>
          <w:sz w:val="36"/>
          <w:szCs w:val="36"/>
        </w:rPr>
        <w:t>ADR</w:t>
      </w:r>
      <w:r w:rsidRPr="003807BC">
        <w:rPr>
          <w:rFonts w:ascii="Times New Roman" w:hAnsi="Times New Roman" w:cs="Times New Roman"/>
          <w:sz w:val="36"/>
          <w:szCs w:val="36"/>
        </w:rPr>
        <w:t xml:space="preserve"> </w:t>
      </w:r>
      <w:r w:rsidR="003807BC">
        <w:rPr>
          <w:rFonts w:ascii="Times New Roman" w:hAnsi="Times New Roman" w:cs="Times New Roman"/>
          <w:sz w:val="36"/>
          <w:szCs w:val="36"/>
        </w:rPr>
        <w:t>è</w:t>
      </w:r>
      <w:r w:rsidR="00C41448" w:rsidRPr="003807BC">
        <w:rPr>
          <w:rFonts w:ascii="Times New Roman" w:hAnsi="Times New Roman" w:cs="Times New Roman"/>
          <w:sz w:val="36"/>
          <w:szCs w:val="36"/>
        </w:rPr>
        <w:t xml:space="preserve"> importante </w:t>
      </w:r>
      <w:r w:rsidR="00786AAF">
        <w:rPr>
          <w:rFonts w:ascii="Times New Roman" w:hAnsi="Times New Roman" w:cs="Times New Roman"/>
          <w:sz w:val="36"/>
          <w:szCs w:val="36"/>
        </w:rPr>
        <w:t xml:space="preserve">delineare una ricostruzione sistematica anche dell’azione collettiva pubblica, in quanto tale azione, come nei sistemi di Common Law è finalizzata essenzialmente al </w:t>
      </w:r>
      <w:r w:rsidR="00786AAF" w:rsidRPr="00786AAF">
        <w:rPr>
          <w:rFonts w:ascii="Times New Roman" w:hAnsi="Times New Roman" w:cs="Times New Roman"/>
          <w:i/>
          <w:iCs/>
          <w:sz w:val="36"/>
          <w:szCs w:val="36"/>
        </w:rPr>
        <w:t xml:space="preserve">“cd </w:t>
      </w:r>
      <w:proofErr w:type="spellStart"/>
      <w:r w:rsidR="00786AAF" w:rsidRPr="00786AAF">
        <w:rPr>
          <w:rFonts w:ascii="Times New Roman" w:hAnsi="Times New Roman" w:cs="Times New Roman"/>
          <w:i/>
          <w:iCs/>
          <w:sz w:val="36"/>
          <w:szCs w:val="36"/>
        </w:rPr>
        <w:t>settlement</w:t>
      </w:r>
      <w:proofErr w:type="spellEnd"/>
      <w:r w:rsidR="00786AAF" w:rsidRPr="00786AAF">
        <w:rPr>
          <w:rFonts w:ascii="Times New Roman" w:hAnsi="Times New Roman" w:cs="Times New Roman"/>
          <w:i/>
          <w:iCs/>
          <w:sz w:val="36"/>
          <w:szCs w:val="36"/>
        </w:rPr>
        <w:t>”</w:t>
      </w:r>
      <w:r w:rsidR="00786AAF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="00786AAF" w:rsidRPr="00786AAF">
        <w:rPr>
          <w:rFonts w:ascii="Times New Roman" w:hAnsi="Times New Roman" w:cs="Times New Roman"/>
          <w:sz w:val="36"/>
          <w:szCs w:val="36"/>
        </w:rPr>
        <w:t>ossia ad un accordo conciliativ</w:t>
      </w:r>
      <w:r w:rsidR="00ED1868">
        <w:rPr>
          <w:rFonts w:ascii="Times New Roman" w:hAnsi="Times New Roman" w:cs="Times New Roman"/>
          <w:sz w:val="36"/>
          <w:szCs w:val="36"/>
        </w:rPr>
        <w:t>o</w:t>
      </w:r>
      <w:r w:rsidR="006B5B3A">
        <w:rPr>
          <w:rFonts w:ascii="Times New Roman" w:hAnsi="Times New Roman" w:cs="Times New Roman"/>
          <w:sz w:val="36"/>
          <w:szCs w:val="36"/>
        </w:rPr>
        <w:t xml:space="preserve"> e può senz’altro favorire il cd “</w:t>
      </w:r>
      <w:r w:rsidR="006B5B3A" w:rsidRPr="006B5B3A">
        <w:rPr>
          <w:rFonts w:ascii="Times New Roman" w:hAnsi="Times New Roman" w:cs="Times New Roman"/>
          <w:i/>
          <w:iCs/>
          <w:sz w:val="36"/>
          <w:szCs w:val="36"/>
        </w:rPr>
        <w:t>accesso differenziato alla giustizia”, Multi door court house</w:t>
      </w:r>
      <w:r w:rsidR="00C31D07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="00C31D07" w:rsidRPr="00C31D07">
        <w:rPr>
          <w:rFonts w:ascii="Times New Roman" w:hAnsi="Times New Roman" w:cs="Times New Roman"/>
          <w:sz w:val="36"/>
          <w:szCs w:val="36"/>
        </w:rPr>
        <w:t>secondo la nota teoria di Sander.</w:t>
      </w:r>
    </w:p>
    <w:p w14:paraId="220E682F" w14:textId="79B44BED" w:rsidR="00E7285A" w:rsidRDefault="00E7285A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 w:rsidRPr="00E7285A">
        <w:rPr>
          <w:rFonts w:ascii="Times New Roman" w:hAnsi="Times New Roman" w:cs="Times New Roman"/>
          <w:sz w:val="36"/>
          <w:szCs w:val="36"/>
        </w:rPr>
        <w:t xml:space="preserve">La </w:t>
      </w:r>
      <w:r w:rsidRPr="00E7285A">
        <w:rPr>
          <w:rFonts w:ascii="Times New Roman" w:hAnsi="Times New Roman" w:cs="Times New Roman"/>
          <w:i/>
          <w:iCs/>
          <w:sz w:val="36"/>
          <w:szCs w:val="36"/>
        </w:rPr>
        <w:t xml:space="preserve">class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action </w:t>
      </w:r>
      <w:r w:rsidRPr="00E7285A">
        <w:rPr>
          <w:rFonts w:ascii="Times New Roman" w:hAnsi="Times New Roman" w:cs="Times New Roman"/>
          <w:sz w:val="36"/>
          <w:szCs w:val="36"/>
        </w:rPr>
        <w:t xml:space="preserve">consiste </w:t>
      </w:r>
      <w:r>
        <w:rPr>
          <w:rFonts w:ascii="Times New Roman" w:hAnsi="Times New Roman" w:cs="Times New Roman"/>
          <w:sz w:val="36"/>
          <w:szCs w:val="36"/>
        </w:rPr>
        <w:t xml:space="preserve">nel fatto </w:t>
      </w:r>
      <w:r w:rsidR="00991EEB">
        <w:rPr>
          <w:rFonts w:ascii="Times New Roman" w:hAnsi="Times New Roman" w:cs="Times New Roman"/>
          <w:sz w:val="36"/>
          <w:szCs w:val="36"/>
        </w:rPr>
        <w:t xml:space="preserve">che un </w:t>
      </w:r>
      <w:r>
        <w:rPr>
          <w:rFonts w:ascii="Times New Roman" w:hAnsi="Times New Roman" w:cs="Times New Roman"/>
          <w:sz w:val="36"/>
          <w:szCs w:val="36"/>
        </w:rPr>
        <w:t>membro di un gruppo o categoria, come ad. esempio, l’azionista di una società</w:t>
      </w:r>
      <w:r w:rsidR="00C87EA3">
        <w:rPr>
          <w:rFonts w:ascii="Times New Roman" w:hAnsi="Times New Roman" w:cs="Times New Roman"/>
          <w:sz w:val="36"/>
          <w:szCs w:val="36"/>
        </w:rPr>
        <w:t xml:space="preserve">, i parenti di una vittima di un incidente, cioè di una persona avente uno </w:t>
      </w:r>
      <w:r w:rsidRPr="00E7285A">
        <w:rPr>
          <w:rFonts w:ascii="Times New Roman" w:hAnsi="Times New Roman" w:cs="Times New Roman"/>
          <w:i/>
          <w:iCs/>
          <w:sz w:val="36"/>
          <w:szCs w:val="36"/>
        </w:rPr>
        <w:t>status</w:t>
      </w:r>
      <w:r>
        <w:rPr>
          <w:rFonts w:ascii="Times New Roman" w:hAnsi="Times New Roman" w:cs="Times New Roman"/>
          <w:sz w:val="36"/>
          <w:szCs w:val="36"/>
        </w:rPr>
        <w:t xml:space="preserve">  analogo a </w:t>
      </w:r>
      <w:r w:rsidR="00ED1868">
        <w:rPr>
          <w:rFonts w:ascii="Times New Roman" w:hAnsi="Times New Roman" w:cs="Times New Roman"/>
          <w:sz w:val="36"/>
          <w:szCs w:val="36"/>
        </w:rPr>
        <w:t xml:space="preserve">quello di una certa categoria, </w:t>
      </w:r>
      <w:r>
        <w:rPr>
          <w:rFonts w:ascii="Times New Roman" w:hAnsi="Times New Roman" w:cs="Times New Roman"/>
          <w:sz w:val="36"/>
          <w:szCs w:val="36"/>
        </w:rPr>
        <w:t>intenta un’azione in giudizio da solo per conto di tutti gli altri e con effetti su tutti gli altri.</w:t>
      </w:r>
      <w:r w:rsidR="009B0FC6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1"/>
      </w:r>
      <w:r>
        <w:rPr>
          <w:rFonts w:ascii="Times New Roman" w:hAnsi="Times New Roman" w:cs="Times New Roman"/>
          <w:sz w:val="36"/>
          <w:szCs w:val="36"/>
        </w:rPr>
        <w:t xml:space="preserve"> Questa azione, prevista dalla Rule 23 della </w:t>
      </w:r>
      <w:r w:rsidRPr="00E7285A">
        <w:rPr>
          <w:rFonts w:ascii="Times New Roman" w:hAnsi="Times New Roman" w:cs="Times New Roman"/>
          <w:i/>
          <w:iCs/>
          <w:sz w:val="36"/>
          <w:szCs w:val="36"/>
        </w:rPr>
        <w:t xml:space="preserve">Federal Rules of </w:t>
      </w:r>
      <w:proofErr w:type="spellStart"/>
      <w:r w:rsidRPr="00E7285A">
        <w:rPr>
          <w:rFonts w:ascii="Times New Roman" w:hAnsi="Times New Roman" w:cs="Times New Roman"/>
          <w:i/>
          <w:iCs/>
          <w:sz w:val="36"/>
          <w:szCs w:val="36"/>
        </w:rPr>
        <w:t>Civil</w:t>
      </w:r>
      <w:proofErr w:type="spellEnd"/>
      <w:r w:rsidRPr="00E7285A">
        <w:rPr>
          <w:rFonts w:ascii="Times New Roman" w:hAnsi="Times New Roman" w:cs="Times New Roman"/>
          <w:i/>
          <w:iCs/>
          <w:sz w:val="36"/>
          <w:szCs w:val="36"/>
        </w:rPr>
        <w:t xml:space="preserve"> Procedure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Pr="00E7285A">
        <w:rPr>
          <w:rFonts w:ascii="Times New Roman" w:hAnsi="Times New Roman" w:cs="Times New Roman"/>
          <w:sz w:val="36"/>
          <w:szCs w:val="36"/>
        </w:rPr>
        <w:t>emendata nel 1966,</w:t>
      </w:r>
      <w:r>
        <w:rPr>
          <w:rFonts w:ascii="Times New Roman" w:hAnsi="Times New Roman" w:cs="Times New Roman"/>
          <w:sz w:val="36"/>
          <w:szCs w:val="36"/>
        </w:rPr>
        <w:t xml:space="preserve"> ha per effetto di estendere il giudicato </w:t>
      </w:r>
      <w:r w:rsidRPr="00E7285A">
        <w:rPr>
          <w:rFonts w:ascii="Times New Roman" w:hAnsi="Times New Roman" w:cs="Times New Roman"/>
          <w:i/>
          <w:iCs/>
          <w:sz w:val="36"/>
          <w:szCs w:val="36"/>
        </w:rPr>
        <w:t>ultra partes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Pr="00E7285A">
        <w:rPr>
          <w:rFonts w:ascii="Times New Roman" w:hAnsi="Times New Roman" w:cs="Times New Roman"/>
          <w:sz w:val="36"/>
          <w:szCs w:val="36"/>
        </w:rPr>
        <w:t xml:space="preserve">ossia </w:t>
      </w:r>
      <w:r>
        <w:rPr>
          <w:rFonts w:ascii="Times New Roman" w:hAnsi="Times New Roman" w:cs="Times New Roman"/>
          <w:sz w:val="36"/>
          <w:szCs w:val="36"/>
        </w:rPr>
        <w:t xml:space="preserve">al di là dei limiti soggettivi delle parti </w:t>
      </w:r>
      <w:r>
        <w:rPr>
          <w:rFonts w:ascii="Times New Roman" w:hAnsi="Times New Roman" w:cs="Times New Roman"/>
          <w:sz w:val="36"/>
          <w:szCs w:val="36"/>
        </w:rPr>
        <w:lastRenderedPageBreak/>
        <w:t>in causa. Ineguagliabile strumento di tutela degli inte</w:t>
      </w:r>
      <w:r w:rsidR="00C87EA3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essi diffusi, esso trova una vastissima applicazione di cui gli esempi più significativi sono rintracciabili in materia di diritti civili, di controversie del lavoro, di tutela del consumatore e dell’ambiente. </w:t>
      </w:r>
      <w:r w:rsidR="00C87EA3">
        <w:rPr>
          <w:rFonts w:ascii="Times New Roman" w:hAnsi="Times New Roman" w:cs="Times New Roman"/>
          <w:sz w:val="36"/>
          <w:szCs w:val="36"/>
        </w:rPr>
        <w:t xml:space="preserve"> (Environment). La </w:t>
      </w:r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class action </w:t>
      </w:r>
      <w:r w:rsidR="00C87EA3" w:rsidRPr="00C87EA3">
        <w:rPr>
          <w:rFonts w:ascii="Times New Roman" w:hAnsi="Times New Roman" w:cs="Times New Roman"/>
          <w:sz w:val="36"/>
          <w:szCs w:val="36"/>
        </w:rPr>
        <w:t xml:space="preserve">trova </w:t>
      </w:r>
      <w:r w:rsidR="00C87EA3">
        <w:rPr>
          <w:rFonts w:ascii="Times New Roman" w:hAnsi="Times New Roman" w:cs="Times New Roman"/>
          <w:sz w:val="36"/>
          <w:szCs w:val="36"/>
        </w:rPr>
        <w:t xml:space="preserve">parziale corrispondenza inglese nella </w:t>
      </w:r>
      <w:proofErr w:type="spellStart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representative</w:t>
      </w:r>
      <w:proofErr w:type="spellEnd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 action</w:t>
      </w:r>
      <w:r w:rsidR="00C87EA3">
        <w:rPr>
          <w:rFonts w:ascii="Times New Roman" w:hAnsi="Times New Roman" w:cs="Times New Roman"/>
          <w:sz w:val="36"/>
          <w:szCs w:val="36"/>
        </w:rPr>
        <w:t xml:space="preserve">, alla quale si fa ricorso, peraltro, assai di rado : quest’ultima è intesa nel senso che i membri di una categoria debbano avere un </w:t>
      </w:r>
      <w:r w:rsidR="00ED1868">
        <w:rPr>
          <w:rFonts w:ascii="Times New Roman" w:hAnsi="Times New Roman" w:cs="Times New Roman"/>
          <w:i/>
          <w:iCs/>
          <w:sz w:val="36"/>
          <w:szCs w:val="36"/>
        </w:rPr>
        <w:t xml:space="preserve">common </w:t>
      </w:r>
      <w:proofErr w:type="spellStart"/>
      <w:r w:rsidR="00ED1868">
        <w:rPr>
          <w:rFonts w:ascii="Times New Roman" w:hAnsi="Times New Roman" w:cs="Times New Roman"/>
          <w:i/>
          <w:iCs/>
          <w:sz w:val="36"/>
          <w:szCs w:val="36"/>
        </w:rPr>
        <w:t>interest</w:t>
      </w:r>
      <w:proofErr w:type="spellEnd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87EA3">
        <w:rPr>
          <w:rFonts w:ascii="Times New Roman" w:hAnsi="Times New Roman" w:cs="Times New Roman"/>
          <w:i/>
          <w:iCs/>
          <w:sz w:val="36"/>
          <w:szCs w:val="36"/>
        </w:rPr>
        <w:t xml:space="preserve">and a common </w:t>
      </w:r>
      <w:proofErr w:type="spellStart"/>
      <w:r w:rsidR="00C87EA3">
        <w:rPr>
          <w:rFonts w:ascii="Times New Roman" w:hAnsi="Times New Roman" w:cs="Times New Roman"/>
          <w:i/>
          <w:iCs/>
          <w:sz w:val="36"/>
          <w:szCs w:val="36"/>
        </w:rPr>
        <w:t>grievance</w:t>
      </w:r>
      <w:proofErr w:type="spellEnd"/>
      <w:r w:rsidR="00C87E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87EA3" w:rsidRPr="00C87EA3">
        <w:rPr>
          <w:rFonts w:ascii="Times New Roman" w:hAnsi="Times New Roman" w:cs="Times New Roman"/>
          <w:sz w:val="36"/>
          <w:szCs w:val="36"/>
        </w:rPr>
        <w:t>e il</w:t>
      </w:r>
      <w:r w:rsidR="00C87E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87EA3">
        <w:rPr>
          <w:rFonts w:ascii="Times New Roman" w:hAnsi="Times New Roman" w:cs="Times New Roman"/>
          <w:sz w:val="36"/>
          <w:szCs w:val="36"/>
        </w:rPr>
        <w:t xml:space="preserve">rimedio richiesto dovrebbe beneficiare tutti; le parti </w:t>
      </w:r>
      <w:proofErr w:type="spellStart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represented</w:t>
      </w:r>
      <w:proofErr w:type="spellEnd"/>
      <w:r w:rsidR="00C87EA3">
        <w:rPr>
          <w:rFonts w:ascii="Times New Roman" w:hAnsi="Times New Roman" w:cs="Times New Roman"/>
          <w:sz w:val="36"/>
          <w:szCs w:val="36"/>
        </w:rPr>
        <w:t xml:space="preserve"> devono essere indicate con maggiore precisione che nella </w:t>
      </w:r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class action</w:t>
      </w:r>
      <w:r w:rsidR="00C87EA3">
        <w:rPr>
          <w:rFonts w:ascii="Times New Roman" w:hAnsi="Times New Roman" w:cs="Times New Roman"/>
          <w:sz w:val="36"/>
          <w:szCs w:val="36"/>
        </w:rPr>
        <w:t xml:space="preserve"> americana. Inoltre, la </w:t>
      </w:r>
      <w:proofErr w:type="spellStart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representative</w:t>
      </w:r>
      <w:proofErr w:type="spellEnd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 action</w:t>
      </w:r>
      <w:r w:rsidR="00C87EA3">
        <w:rPr>
          <w:rFonts w:ascii="Times New Roman" w:hAnsi="Times New Roman" w:cs="Times New Roman"/>
          <w:sz w:val="36"/>
          <w:szCs w:val="36"/>
        </w:rPr>
        <w:t xml:space="preserve"> non è ammessa se è diretta ad accertare il diritto di numerose persone ad ottenere il risarcimento dei propri danni. La </w:t>
      </w:r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class action </w:t>
      </w:r>
      <w:r w:rsidR="00C87EA3">
        <w:rPr>
          <w:rFonts w:ascii="Times New Roman" w:hAnsi="Times New Roman" w:cs="Times New Roman"/>
          <w:sz w:val="36"/>
          <w:szCs w:val="36"/>
        </w:rPr>
        <w:t xml:space="preserve">si distingue dalla </w:t>
      </w:r>
      <w:proofErr w:type="spellStart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pubblic</w:t>
      </w:r>
      <w:proofErr w:type="spellEnd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>interest</w:t>
      </w:r>
      <w:proofErr w:type="spellEnd"/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 action </w:t>
      </w:r>
      <w:r w:rsidR="00C87EA3">
        <w:rPr>
          <w:rFonts w:ascii="Times New Roman" w:hAnsi="Times New Roman" w:cs="Times New Roman"/>
          <w:i/>
          <w:iCs/>
          <w:sz w:val="36"/>
          <w:szCs w:val="36"/>
        </w:rPr>
        <w:t xml:space="preserve">: </w:t>
      </w:r>
      <w:r w:rsidR="00C87EA3" w:rsidRPr="00C87EA3">
        <w:rPr>
          <w:rFonts w:ascii="Times New Roman" w:hAnsi="Times New Roman" w:cs="Times New Roman"/>
          <w:sz w:val="36"/>
          <w:szCs w:val="36"/>
        </w:rPr>
        <w:t>come è stato osservato</w:t>
      </w:r>
      <w:r w:rsidR="00C87EA3">
        <w:rPr>
          <w:rFonts w:ascii="Times New Roman" w:hAnsi="Times New Roman" w:cs="Times New Roman"/>
          <w:sz w:val="36"/>
          <w:szCs w:val="36"/>
        </w:rPr>
        <w:t xml:space="preserve">, mentre lo sviluppo della </w:t>
      </w:r>
      <w:r w:rsidR="00C87EA3" w:rsidRPr="00C87EA3">
        <w:rPr>
          <w:rFonts w:ascii="Times New Roman" w:hAnsi="Times New Roman" w:cs="Times New Roman"/>
          <w:i/>
          <w:iCs/>
          <w:sz w:val="36"/>
          <w:szCs w:val="36"/>
        </w:rPr>
        <w:t xml:space="preserve">class action </w:t>
      </w:r>
      <w:r w:rsidR="00C87EA3" w:rsidRPr="000D0D23">
        <w:rPr>
          <w:rFonts w:ascii="Times New Roman" w:hAnsi="Times New Roman" w:cs="Times New Roman"/>
          <w:sz w:val="36"/>
          <w:szCs w:val="36"/>
        </w:rPr>
        <w:t>deriva</w:t>
      </w:r>
      <w:r w:rsidR="000D0D23">
        <w:rPr>
          <w:rFonts w:ascii="Times New Roman" w:hAnsi="Times New Roman" w:cs="Times New Roman"/>
          <w:sz w:val="36"/>
          <w:szCs w:val="36"/>
        </w:rPr>
        <w:t xml:space="preserve"> da un approccio liberale verso il concetto di </w:t>
      </w:r>
      <w:proofErr w:type="spellStart"/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>representation</w:t>
      </w:r>
      <w:proofErr w:type="spellEnd"/>
      <w:r w:rsidR="000D0D23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="000D0D23" w:rsidRPr="000D0D23">
        <w:rPr>
          <w:rFonts w:ascii="Times New Roman" w:hAnsi="Times New Roman" w:cs="Times New Roman"/>
          <w:sz w:val="36"/>
          <w:szCs w:val="36"/>
        </w:rPr>
        <w:t>quello</w:t>
      </w:r>
      <w:r w:rsidR="000D0D23">
        <w:rPr>
          <w:rFonts w:ascii="Times New Roman" w:hAnsi="Times New Roman" w:cs="Times New Roman"/>
          <w:sz w:val="36"/>
          <w:szCs w:val="36"/>
        </w:rPr>
        <w:t xml:space="preserve"> delle </w:t>
      </w:r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 xml:space="preserve">public </w:t>
      </w:r>
      <w:proofErr w:type="spellStart"/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>interest</w:t>
      </w:r>
      <w:proofErr w:type="spellEnd"/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 xml:space="preserve"> actions</w:t>
      </w:r>
      <w:r w:rsidR="000D0D2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0D0D23" w:rsidRPr="000D0D23">
        <w:rPr>
          <w:rFonts w:ascii="Times New Roman" w:hAnsi="Times New Roman" w:cs="Times New Roman"/>
          <w:sz w:val="36"/>
          <w:szCs w:val="36"/>
        </w:rPr>
        <w:t>deriva</w:t>
      </w:r>
      <w:r w:rsidR="000D0D23">
        <w:rPr>
          <w:rFonts w:ascii="Times New Roman" w:hAnsi="Times New Roman" w:cs="Times New Roman"/>
          <w:sz w:val="36"/>
          <w:szCs w:val="36"/>
        </w:rPr>
        <w:t xml:space="preserve"> da un allargamento senza precedenti del concetto di </w:t>
      </w:r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 xml:space="preserve">locus </w:t>
      </w:r>
      <w:proofErr w:type="spellStart"/>
      <w:r w:rsidR="000D0D23" w:rsidRPr="000D0D23">
        <w:rPr>
          <w:rFonts w:ascii="Times New Roman" w:hAnsi="Times New Roman" w:cs="Times New Roman"/>
          <w:i/>
          <w:iCs/>
          <w:sz w:val="36"/>
          <w:szCs w:val="36"/>
        </w:rPr>
        <w:t>standi</w:t>
      </w:r>
      <w:proofErr w:type="spellEnd"/>
      <w:r w:rsidR="00DB4FA8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B13D41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="00A13707">
        <w:rPr>
          <w:rFonts w:ascii="Times New Roman" w:hAnsi="Times New Roman" w:cs="Times New Roman"/>
          <w:i/>
          <w:iCs/>
          <w:sz w:val="36"/>
          <w:szCs w:val="36"/>
        </w:rPr>
        <w:t>o standing,</w:t>
      </w:r>
      <w:r w:rsidR="00B13D4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B13D41" w:rsidRPr="00B13D41">
        <w:rPr>
          <w:rFonts w:ascii="Times New Roman" w:hAnsi="Times New Roman" w:cs="Times New Roman"/>
          <w:sz w:val="36"/>
          <w:szCs w:val="36"/>
        </w:rPr>
        <w:t>termine processuale</w:t>
      </w:r>
      <w:r w:rsidR="00F02FAB">
        <w:rPr>
          <w:rFonts w:ascii="Times New Roman" w:hAnsi="Times New Roman" w:cs="Times New Roman"/>
          <w:sz w:val="36"/>
          <w:szCs w:val="36"/>
        </w:rPr>
        <w:t xml:space="preserve"> che combina i concetti di </w:t>
      </w:r>
      <w:proofErr w:type="spellStart"/>
      <w:r w:rsidR="00F02FAB" w:rsidRPr="00F02FAB">
        <w:rPr>
          <w:rFonts w:ascii="Times New Roman" w:hAnsi="Times New Roman" w:cs="Times New Roman"/>
          <w:i/>
          <w:iCs/>
          <w:sz w:val="36"/>
          <w:szCs w:val="36"/>
        </w:rPr>
        <w:t>legitimatio</w:t>
      </w:r>
      <w:proofErr w:type="spellEnd"/>
      <w:r w:rsidR="00F02FAB" w:rsidRPr="00F02FAB">
        <w:rPr>
          <w:rFonts w:ascii="Times New Roman" w:hAnsi="Times New Roman" w:cs="Times New Roman"/>
          <w:i/>
          <w:iCs/>
          <w:sz w:val="36"/>
          <w:szCs w:val="36"/>
        </w:rPr>
        <w:t xml:space="preserve"> ad</w:t>
      </w:r>
      <w:r w:rsidR="00F02FA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02FAB" w:rsidRPr="00F02FAB">
        <w:rPr>
          <w:rFonts w:ascii="Times New Roman" w:hAnsi="Times New Roman" w:cs="Times New Roman"/>
          <w:i/>
          <w:iCs/>
          <w:sz w:val="36"/>
          <w:szCs w:val="36"/>
        </w:rPr>
        <w:t>causam</w:t>
      </w:r>
      <w:proofErr w:type="spellEnd"/>
      <w:r w:rsidR="00F02FAB">
        <w:rPr>
          <w:rFonts w:ascii="Times New Roman" w:hAnsi="Times New Roman" w:cs="Times New Roman"/>
          <w:sz w:val="36"/>
          <w:szCs w:val="36"/>
        </w:rPr>
        <w:t xml:space="preserve"> e </w:t>
      </w:r>
      <w:r w:rsidR="00F02FAB" w:rsidRPr="00F02FAB">
        <w:rPr>
          <w:rFonts w:ascii="Times New Roman" w:hAnsi="Times New Roman" w:cs="Times New Roman"/>
          <w:i/>
          <w:iCs/>
          <w:sz w:val="36"/>
          <w:szCs w:val="36"/>
        </w:rPr>
        <w:t xml:space="preserve">causa </w:t>
      </w:r>
      <w:proofErr w:type="spellStart"/>
      <w:r w:rsidR="00F02FAB" w:rsidRPr="00F02FAB">
        <w:rPr>
          <w:rFonts w:ascii="Times New Roman" w:hAnsi="Times New Roman" w:cs="Times New Roman"/>
          <w:i/>
          <w:iCs/>
          <w:sz w:val="36"/>
          <w:szCs w:val="36"/>
        </w:rPr>
        <w:t>petendi</w:t>
      </w:r>
      <w:proofErr w:type="spellEnd"/>
      <w:r w:rsidR="00D46D51">
        <w:rPr>
          <w:rStyle w:val="Rimandonotaapidipagina"/>
          <w:rFonts w:ascii="Times New Roman" w:hAnsi="Times New Roman" w:cs="Times New Roman"/>
          <w:i/>
          <w:iCs/>
          <w:sz w:val="36"/>
          <w:szCs w:val="36"/>
        </w:rPr>
        <w:footnoteReference w:id="2"/>
      </w:r>
      <w:r w:rsidR="00D46D51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</w:p>
    <w:p w14:paraId="0BE07C6D" w14:textId="77777777" w:rsidR="00C93530" w:rsidRDefault="006254AE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Come la </w:t>
      </w:r>
      <w:r w:rsidRPr="00C4436F">
        <w:rPr>
          <w:rFonts w:ascii="Times New Roman" w:hAnsi="Times New Roman" w:cs="Times New Roman"/>
          <w:i/>
          <w:iCs/>
          <w:sz w:val="36"/>
          <w:szCs w:val="36"/>
        </w:rPr>
        <w:t>class action</w:t>
      </w:r>
      <w:r w:rsidR="00C4436F">
        <w:rPr>
          <w:rFonts w:ascii="Times New Roman" w:hAnsi="Times New Roman" w:cs="Times New Roman"/>
          <w:sz w:val="36"/>
          <w:szCs w:val="36"/>
        </w:rPr>
        <w:t xml:space="preserve"> </w:t>
      </w:r>
      <w:r w:rsidR="009D0DBE">
        <w:rPr>
          <w:rFonts w:ascii="Times New Roman" w:hAnsi="Times New Roman" w:cs="Times New Roman"/>
          <w:sz w:val="36"/>
          <w:szCs w:val="36"/>
        </w:rPr>
        <w:t xml:space="preserve">nei confronti della Pubblica Amministrazione è stata trasposta nel nostro ordinamento? </w:t>
      </w:r>
      <w:r w:rsidR="008E7E3C">
        <w:rPr>
          <w:rFonts w:ascii="Times New Roman" w:hAnsi="Times New Roman" w:cs="Times New Roman"/>
          <w:sz w:val="36"/>
          <w:szCs w:val="36"/>
        </w:rPr>
        <w:t xml:space="preserve">Si ricorderà che la legge n.15/2009 </w:t>
      </w:r>
      <w:r w:rsidR="00927EBF">
        <w:rPr>
          <w:rFonts w:ascii="Times New Roman" w:hAnsi="Times New Roman" w:cs="Times New Roman"/>
          <w:sz w:val="36"/>
          <w:szCs w:val="36"/>
        </w:rPr>
        <w:t>ha introdotto l’istituto dell’azione collettiva contro le inefficienze delle amministrazioni e dei concessionari di servizi pubblici.</w:t>
      </w:r>
      <w:r w:rsidR="0039325A">
        <w:rPr>
          <w:rFonts w:ascii="Times New Roman" w:hAnsi="Times New Roman" w:cs="Times New Roman"/>
          <w:sz w:val="36"/>
          <w:szCs w:val="36"/>
        </w:rPr>
        <w:t xml:space="preserve"> Con tale azione l’ordinamento determina una visione della pubblica amministrazione come </w:t>
      </w:r>
      <w:r w:rsidR="0039325A" w:rsidRPr="00E2409B">
        <w:rPr>
          <w:rFonts w:ascii="Times New Roman" w:hAnsi="Times New Roman" w:cs="Times New Roman"/>
          <w:b/>
          <w:bCs/>
          <w:sz w:val="36"/>
          <w:szCs w:val="36"/>
        </w:rPr>
        <w:t>amministrazione di risultato</w:t>
      </w:r>
      <w:r w:rsidR="00E2409B">
        <w:rPr>
          <w:rFonts w:ascii="Times New Roman" w:hAnsi="Times New Roman" w:cs="Times New Roman"/>
          <w:sz w:val="36"/>
          <w:szCs w:val="36"/>
        </w:rPr>
        <w:t>, nel quadro di una concezione sostanziale</w:t>
      </w:r>
      <w:r w:rsidR="00017413">
        <w:rPr>
          <w:rFonts w:ascii="Times New Roman" w:hAnsi="Times New Roman" w:cs="Times New Roman"/>
          <w:sz w:val="36"/>
          <w:szCs w:val="36"/>
        </w:rPr>
        <w:t xml:space="preserve"> del principio del buon andamento di cui all’art.97 della Costituzione. </w:t>
      </w:r>
    </w:p>
    <w:p w14:paraId="5FB410CC" w14:textId="77777777" w:rsidR="00B422D5" w:rsidRDefault="00C93530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La giurisdizione</w:t>
      </w:r>
      <w:r w:rsidR="00C351D5">
        <w:rPr>
          <w:rFonts w:ascii="Times New Roman" w:hAnsi="Times New Roman" w:cs="Times New Roman"/>
          <w:sz w:val="36"/>
          <w:szCs w:val="36"/>
        </w:rPr>
        <w:t xml:space="preserve"> è attribuita al giudice amministrativo in sede di giurisdizione esclusiva</w:t>
      </w:r>
      <w:r w:rsidR="00A34A6E">
        <w:rPr>
          <w:rFonts w:ascii="Times New Roman" w:hAnsi="Times New Roman" w:cs="Times New Roman"/>
          <w:sz w:val="36"/>
          <w:szCs w:val="36"/>
        </w:rPr>
        <w:t xml:space="preserve">, in quanto direttamente riconducibile alle materie che intercettano i servizi pubblici attribuiti alla giurisdizione esclusiva del giudice amministrativo come previsto dall’art.133, comma 1 </w:t>
      </w:r>
      <w:proofErr w:type="spellStart"/>
      <w:r w:rsidR="00A34A6E">
        <w:rPr>
          <w:rFonts w:ascii="Times New Roman" w:hAnsi="Times New Roman" w:cs="Times New Roman"/>
          <w:sz w:val="36"/>
          <w:szCs w:val="36"/>
        </w:rPr>
        <w:t>lett.c</w:t>
      </w:r>
      <w:proofErr w:type="spellEnd"/>
      <w:r w:rsidR="00A34A6E">
        <w:rPr>
          <w:rFonts w:ascii="Times New Roman" w:hAnsi="Times New Roman" w:cs="Times New Roman"/>
          <w:sz w:val="36"/>
          <w:szCs w:val="36"/>
        </w:rPr>
        <w:t>)</w:t>
      </w:r>
      <w:r w:rsidR="00CC0F5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C0F57">
        <w:rPr>
          <w:rFonts w:ascii="Times New Roman" w:hAnsi="Times New Roman" w:cs="Times New Roman"/>
          <w:sz w:val="36"/>
          <w:szCs w:val="36"/>
        </w:rPr>
        <w:t>c.p.a</w:t>
      </w:r>
      <w:proofErr w:type="spellEnd"/>
      <w:r w:rsidR="00CC0F57">
        <w:rPr>
          <w:rFonts w:ascii="Times New Roman" w:hAnsi="Times New Roman" w:cs="Times New Roman"/>
          <w:sz w:val="36"/>
          <w:szCs w:val="36"/>
        </w:rPr>
        <w:t xml:space="preserve">, caratterizzate dalla compresenza di interessi legittimi e diritti soggettivi. </w:t>
      </w:r>
    </w:p>
    <w:p w14:paraId="73CE0236" w14:textId="7A4D85FE" w:rsidR="006254AE" w:rsidRDefault="00B422D5" w:rsidP="003A7BD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 quanto concerne la compatibilità con quanto stabilito dalle sentenze n.204/2004 e 191/2006</w:t>
      </w:r>
      <w:r w:rsidR="00F924DE">
        <w:rPr>
          <w:rFonts w:ascii="Times New Roman" w:hAnsi="Times New Roman" w:cs="Times New Roman"/>
          <w:sz w:val="36"/>
          <w:szCs w:val="36"/>
        </w:rPr>
        <w:t xml:space="preserve"> della consulta, è da evidenziare, in senso conforme, che le pubbliche amministrazioni in sede di erogazion</w:t>
      </w:r>
      <w:r w:rsidR="001E19E7">
        <w:rPr>
          <w:rFonts w:ascii="Times New Roman" w:hAnsi="Times New Roman" w:cs="Times New Roman"/>
          <w:sz w:val="36"/>
          <w:szCs w:val="36"/>
        </w:rPr>
        <w:t>e dei servizi pubblici, non pongono</w:t>
      </w:r>
      <w:r w:rsidR="00581FC2">
        <w:rPr>
          <w:rFonts w:ascii="Times New Roman" w:hAnsi="Times New Roman" w:cs="Times New Roman"/>
          <w:sz w:val="36"/>
          <w:szCs w:val="36"/>
        </w:rPr>
        <w:t xml:space="preserve"> </w:t>
      </w:r>
      <w:r w:rsidR="001E19E7">
        <w:rPr>
          <w:rFonts w:ascii="Times New Roman" w:hAnsi="Times New Roman" w:cs="Times New Roman"/>
          <w:sz w:val="36"/>
          <w:szCs w:val="36"/>
        </w:rPr>
        <w:t xml:space="preserve">in essere comportamenti meri di stampo privatistico e materiale, ma </w:t>
      </w:r>
      <w:r w:rsidR="001E19E7" w:rsidRPr="001E19E7">
        <w:rPr>
          <w:rFonts w:ascii="Times New Roman" w:hAnsi="Times New Roman" w:cs="Times New Roman"/>
          <w:b/>
          <w:bCs/>
          <w:sz w:val="36"/>
          <w:szCs w:val="36"/>
        </w:rPr>
        <w:t xml:space="preserve">comportamenti amministrativi </w:t>
      </w:r>
      <w:r w:rsidR="006C42E1">
        <w:rPr>
          <w:rFonts w:ascii="Times New Roman" w:hAnsi="Times New Roman" w:cs="Times New Roman"/>
          <w:b/>
          <w:bCs/>
          <w:sz w:val="36"/>
          <w:szCs w:val="36"/>
        </w:rPr>
        <w:t>connessi alla loro veste autoritativa.</w:t>
      </w:r>
    </w:p>
    <w:p w14:paraId="17A49C29" w14:textId="3189A0D4" w:rsidR="006C42E1" w:rsidRDefault="006C42E1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 w:rsidRPr="006C42E1">
        <w:rPr>
          <w:rFonts w:ascii="Times New Roman" w:hAnsi="Times New Roman" w:cs="Times New Roman"/>
          <w:sz w:val="36"/>
          <w:szCs w:val="36"/>
        </w:rPr>
        <w:t xml:space="preserve">Invero, </w:t>
      </w:r>
      <w:r>
        <w:rPr>
          <w:rFonts w:ascii="Times New Roman" w:hAnsi="Times New Roman" w:cs="Times New Roman"/>
          <w:sz w:val="36"/>
          <w:szCs w:val="36"/>
        </w:rPr>
        <w:t>si tratta di veri e propri comportamenti amministrativi</w:t>
      </w:r>
      <w:r w:rsidR="00AD2983">
        <w:rPr>
          <w:rFonts w:ascii="Times New Roman" w:hAnsi="Times New Roman" w:cs="Times New Roman"/>
          <w:sz w:val="36"/>
          <w:szCs w:val="36"/>
        </w:rPr>
        <w:t xml:space="preserve">, tenuti in settori regolati da leggi di diritto pubblico, tali da giustificare, </w:t>
      </w:r>
      <w:r w:rsidR="0012287B">
        <w:rPr>
          <w:rFonts w:ascii="Times New Roman" w:hAnsi="Times New Roman" w:cs="Times New Roman"/>
          <w:sz w:val="36"/>
          <w:szCs w:val="36"/>
        </w:rPr>
        <w:t>l’attrazione delle relative controversie in capo alla giurisdizione esclusiva</w:t>
      </w:r>
      <w:r w:rsidR="00276A2B">
        <w:rPr>
          <w:rFonts w:ascii="Times New Roman" w:hAnsi="Times New Roman" w:cs="Times New Roman"/>
          <w:sz w:val="36"/>
          <w:szCs w:val="36"/>
        </w:rPr>
        <w:t xml:space="preserve"> del giudice amministrativo.</w:t>
      </w:r>
    </w:p>
    <w:p w14:paraId="154FBAE1" w14:textId="535193C4" w:rsidR="00276A2B" w:rsidRDefault="00276A2B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 precisato che il decreto delegato</w:t>
      </w:r>
      <w:r w:rsidR="00D46D51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3"/>
      </w:r>
      <w:r w:rsidR="0021471E">
        <w:rPr>
          <w:rFonts w:ascii="Times New Roman" w:hAnsi="Times New Roman" w:cs="Times New Roman"/>
          <w:sz w:val="36"/>
          <w:szCs w:val="36"/>
        </w:rPr>
        <w:t xml:space="preserve">, diversamente dalla legge delega, non richiama la natura anche di merito, oltre che esclusiva, della </w:t>
      </w:r>
      <w:r w:rsidR="000C1422">
        <w:rPr>
          <w:rFonts w:ascii="Times New Roman" w:hAnsi="Times New Roman" w:cs="Times New Roman"/>
          <w:sz w:val="36"/>
          <w:szCs w:val="36"/>
        </w:rPr>
        <w:t>giurisdizione del giudice amministrativo.</w:t>
      </w:r>
    </w:p>
    <w:p w14:paraId="7882062C" w14:textId="30F9E166" w:rsidR="000C1422" w:rsidRDefault="000C1422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Recente dottrina ha osservato che il provvedimento è sicuramente innovativo sotto molteplici aspetti</w:t>
      </w:r>
      <w:r w:rsidR="0047741E">
        <w:rPr>
          <w:rFonts w:ascii="Times New Roman" w:hAnsi="Times New Roman" w:cs="Times New Roman"/>
          <w:sz w:val="36"/>
          <w:szCs w:val="36"/>
        </w:rPr>
        <w:t>, dal momento che prevede un’ampia estensione dei poteri del giudice amministrativo sull’operato della pubblica amministrazione</w:t>
      </w:r>
      <w:r w:rsidR="00410F46">
        <w:rPr>
          <w:rFonts w:ascii="Times New Roman" w:hAnsi="Times New Roman" w:cs="Times New Roman"/>
          <w:sz w:val="36"/>
          <w:szCs w:val="36"/>
        </w:rPr>
        <w:t xml:space="preserve">, conferendo allo stesso la facoltà di valutare le scelte di allocazione delle risorse </w:t>
      </w:r>
      <w:r w:rsidR="003903F3">
        <w:rPr>
          <w:rFonts w:ascii="Times New Roman" w:hAnsi="Times New Roman" w:cs="Times New Roman"/>
          <w:sz w:val="36"/>
          <w:szCs w:val="36"/>
        </w:rPr>
        <w:t>disponibili, sindacando non più solo nella sua legittimità, ma anche nella conformit</w:t>
      </w:r>
      <w:r w:rsidR="00623F25">
        <w:rPr>
          <w:rFonts w:ascii="Times New Roman" w:hAnsi="Times New Roman" w:cs="Times New Roman"/>
          <w:sz w:val="36"/>
          <w:szCs w:val="36"/>
        </w:rPr>
        <w:t>à della stessa agli standard qualitativi ed economici.</w:t>
      </w:r>
    </w:p>
    <w:p w14:paraId="38F0BF95" w14:textId="599609DA" w:rsidR="00F86315" w:rsidRDefault="00F86315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Le nozioni di interesse al ricorso</w:t>
      </w:r>
      <w:r w:rsidR="006F6FE5">
        <w:rPr>
          <w:rFonts w:ascii="Times New Roman" w:hAnsi="Times New Roman" w:cs="Times New Roman"/>
          <w:sz w:val="36"/>
          <w:szCs w:val="36"/>
        </w:rPr>
        <w:t xml:space="preserve"> e </w:t>
      </w:r>
      <w:r>
        <w:rPr>
          <w:rFonts w:ascii="Times New Roman" w:hAnsi="Times New Roman" w:cs="Times New Roman"/>
          <w:sz w:val="36"/>
          <w:szCs w:val="36"/>
        </w:rPr>
        <w:t>legittimazione ad agire</w:t>
      </w:r>
      <w:r w:rsidR="006F6FE5">
        <w:rPr>
          <w:rFonts w:ascii="Times New Roman" w:hAnsi="Times New Roman" w:cs="Times New Roman"/>
          <w:sz w:val="36"/>
          <w:szCs w:val="36"/>
        </w:rPr>
        <w:t xml:space="preserve"> ha avuto di recente nel giudizio amministrativo un’elaborazione dalla sentenza n.22</w:t>
      </w:r>
      <w:r w:rsidR="00A63147">
        <w:rPr>
          <w:rFonts w:ascii="Times New Roman" w:hAnsi="Times New Roman" w:cs="Times New Roman"/>
          <w:sz w:val="36"/>
          <w:szCs w:val="36"/>
        </w:rPr>
        <w:t>/21</w:t>
      </w:r>
      <w:r w:rsidR="006F6FE5">
        <w:rPr>
          <w:rFonts w:ascii="Times New Roman" w:hAnsi="Times New Roman" w:cs="Times New Roman"/>
          <w:sz w:val="36"/>
          <w:szCs w:val="36"/>
        </w:rPr>
        <w:t xml:space="preserve"> dell’Adunanza Plenaria del CDS sul concetto di </w:t>
      </w:r>
      <w:proofErr w:type="spellStart"/>
      <w:r w:rsidR="006F6FE5" w:rsidRPr="00A63147">
        <w:rPr>
          <w:rFonts w:ascii="Times New Roman" w:hAnsi="Times New Roman" w:cs="Times New Roman"/>
          <w:i/>
          <w:iCs/>
          <w:sz w:val="36"/>
          <w:szCs w:val="36"/>
        </w:rPr>
        <w:t>vicinitas</w:t>
      </w:r>
      <w:proofErr w:type="spellEnd"/>
      <w:r w:rsidR="007B388A">
        <w:rPr>
          <w:rFonts w:ascii="Times New Roman" w:hAnsi="Times New Roman" w:cs="Times New Roman"/>
          <w:sz w:val="36"/>
          <w:szCs w:val="36"/>
        </w:rPr>
        <w:t xml:space="preserve"> , o anche in tema di ricorso incidentale paralizzante</w:t>
      </w:r>
      <w:r w:rsidR="001A10B7">
        <w:rPr>
          <w:rFonts w:ascii="Times New Roman" w:hAnsi="Times New Roman" w:cs="Times New Roman"/>
          <w:sz w:val="36"/>
          <w:szCs w:val="36"/>
        </w:rPr>
        <w:t xml:space="preserve"> ( si pensi al caso </w:t>
      </w:r>
      <w:r w:rsidR="001A10B7" w:rsidRPr="00124DD6">
        <w:rPr>
          <w:rFonts w:ascii="Times New Roman" w:hAnsi="Times New Roman" w:cs="Times New Roman"/>
          <w:i/>
          <w:iCs/>
          <w:sz w:val="36"/>
          <w:szCs w:val="36"/>
        </w:rPr>
        <w:t xml:space="preserve">Fastweb, </w:t>
      </w:r>
      <w:proofErr w:type="spellStart"/>
      <w:r w:rsidR="001A10B7" w:rsidRPr="00124DD6">
        <w:rPr>
          <w:rFonts w:ascii="Times New Roman" w:hAnsi="Times New Roman" w:cs="Times New Roman"/>
          <w:i/>
          <w:iCs/>
          <w:sz w:val="36"/>
          <w:szCs w:val="36"/>
        </w:rPr>
        <w:t>Puligienica</w:t>
      </w:r>
      <w:proofErr w:type="spellEnd"/>
      <w:r w:rsidR="001A10B7" w:rsidRPr="00124DD6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proofErr w:type="spellStart"/>
      <w:r w:rsidR="001A10B7" w:rsidRPr="00124DD6">
        <w:rPr>
          <w:rFonts w:ascii="Times New Roman" w:hAnsi="Times New Roman" w:cs="Times New Roman"/>
          <w:i/>
          <w:iCs/>
          <w:sz w:val="36"/>
          <w:szCs w:val="36"/>
        </w:rPr>
        <w:t>Randstadt</w:t>
      </w:r>
      <w:proofErr w:type="spellEnd"/>
      <w:r w:rsidR="001A10B7">
        <w:rPr>
          <w:rFonts w:ascii="Times New Roman" w:hAnsi="Times New Roman" w:cs="Times New Roman"/>
          <w:sz w:val="36"/>
          <w:szCs w:val="36"/>
        </w:rPr>
        <w:t xml:space="preserve">), in tema di azione popolare, </w:t>
      </w:r>
      <w:r w:rsidR="001562D4">
        <w:rPr>
          <w:rFonts w:ascii="Times New Roman" w:hAnsi="Times New Roman" w:cs="Times New Roman"/>
          <w:sz w:val="36"/>
          <w:szCs w:val="36"/>
        </w:rPr>
        <w:t>in tema di legittimazione dei soci ad impugnare l’interdittiva della società</w:t>
      </w:r>
      <w:r w:rsidR="00A63147">
        <w:rPr>
          <w:rFonts w:ascii="Times New Roman" w:hAnsi="Times New Roman" w:cs="Times New Roman"/>
          <w:sz w:val="36"/>
          <w:szCs w:val="36"/>
        </w:rPr>
        <w:t xml:space="preserve">, con tutte le relative </w:t>
      </w:r>
      <w:r w:rsidR="00BA5B4E">
        <w:rPr>
          <w:rFonts w:ascii="Times New Roman" w:hAnsi="Times New Roman" w:cs="Times New Roman"/>
          <w:sz w:val="36"/>
          <w:szCs w:val="36"/>
        </w:rPr>
        <w:t xml:space="preserve">elaborazioni in tema di giurisdizione oggettiva. </w:t>
      </w:r>
      <w:r w:rsidR="00124DD6">
        <w:rPr>
          <w:rFonts w:ascii="Times New Roman" w:hAnsi="Times New Roman" w:cs="Times New Roman"/>
          <w:sz w:val="36"/>
          <w:szCs w:val="36"/>
        </w:rPr>
        <w:t xml:space="preserve">In tema di diritto </w:t>
      </w:r>
      <w:proofErr w:type="spellStart"/>
      <w:r w:rsidR="00124DD6">
        <w:rPr>
          <w:rFonts w:ascii="Times New Roman" w:hAnsi="Times New Roman" w:cs="Times New Roman"/>
          <w:sz w:val="36"/>
          <w:szCs w:val="36"/>
        </w:rPr>
        <w:t>eurounitario</w:t>
      </w:r>
      <w:proofErr w:type="spellEnd"/>
      <w:r w:rsidR="00124DD6">
        <w:rPr>
          <w:rFonts w:ascii="Times New Roman" w:hAnsi="Times New Roman" w:cs="Times New Roman"/>
          <w:sz w:val="36"/>
          <w:szCs w:val="36"/>
        </w:rPr>
        <w:t xml:space="preserve"> </w:t>
      </w:r>
      <w:r w:rsidR="002076F5">
        <w:rPr>
          <w:rFonts w:ascii="Times New Roman" w:hAnsi="Times New Roman" w:cs="Times New Roman"/>
          <w:sz w:val="36"/>
          <w:szCs w:val="36"/>
        </w:rPr>
        <w:t>assume un grande significato la recente sentenza C319/19</w:t>
      </w:r>
      <w:r w:rsidR="007D51F6">
        <w:rPr>
          <w:rFonts w:ascii="Times New Roman" w:hAnsi="Times New Roman" w:cs="Times New Roman"/>
          <w:sz w:val="36"/>
          <w:szCs w:val="36"/>
        </w:rPr>
        <w:t xml:space="preserve"> del 28.4.2022</w:t>
      </w:r>
      <w:r w:rsidR="002076F5">
        <w:rPr>
          <w:rFonts w:ascii="Times New Roman" w:hAnsi="Times New Roman" w:cs="Times New Roman"/>
          <w:sz w:val="36"/>
          <w:szCs w:val="36"/>
        </w:rPr>
        <w:t xml:space="preserve"> </w:t>
      </w:r>
      <w:r w:rsidR="00AA4FAC">
        <w:rPr>
          <w:rFonts w:ascii="Times New Roman" w:hAnsi="Times New Roman" w:cs="Times New Roman"/>
          <w:sz w:val="36"/>
          <w:szCs w:val="36"/>
        </w:rPr>
        <w:t>emessa su una pregiudiziale tedesca</w:t>
      </w:r>
      <w:r w:rsidR="00E55124">
        <w:rPr>
          <w:rFonts w:ascii="Times New Roman" w:hAnsi="Times New Roman" w:cs="Times New Roman"/>
          <w:sz w:val="36"/>
          <w:szCs w:val="36"/>
        </w:rPr>
        <w:t xml:space="preserve"> della Corte Federale di Giustizia </w:t>
      </w:r>
      <w:proofErr w:type="spellStart"/>
      <w:r w:rsidR="00E55124" w:rsidRPr="009F1C22">
        <w:rPr>
          <w:rFonts w:ascii="Times New Roman" w:hAnsi="Times New Roman" w:cs="Times New Roman"/>
          <w:i/>
          <w:iCs/>
          <w:sz w:val="36"/>
          <w:szCs w:val="36"/>
        </w:rPr>
        <w:t>Bundesgeric</w:t>
      </w:r>
      <w:r w:rsidR="009F1C22" w:rsidRPr="009F1C22">
        <w:rPr>
          <w:rFonts w:ascii="Times New Roman" w:hAnsi="Times New Roman" w:cs="Times New Roman"/>
          <w:i/>
          <w:iCs/>
          <w:sz w:val="36"/>
          <w:szCs w:val="36"/>
        </w:rPr>
        <w:t>htshof</w:t>
      </w:r>
      <w:proofErr w:type="spellEnd"/>
      <w:r w:rsidR="004D714B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4D714B" w:rsidRPr="004D714B">
        <w:rPr>
          <w:rFonts w:ascii="Times New Roman" w:hAnsi="Times New Roman" w:cs="Times New Roman"/>
          <w:sz w:val="36"/>
          <w:szCs w:val="36"/>
        </w:rPr>
        <w:t xml:space="preserve">in cui </w:t>
      </w:r>
      <w:r w:rsidR="004D714B">
        <w:rPr>
          <w:rFonts w:ascii="Times New Roman" w:hAnsi="Times New Roman" w:cs="Times New Roman"/>
          <w:sz w:val="36"/>
          <w:szCs w:val="36"/>
        </w:rPr>
        <w:t>si è riconosciuta l’</w:t>
      </w:r>
      <w:r w:rsidR="009E6935">
        <w:rPr>
          <w:rFonts w:ascii="Times New Roman" w:hAnsi="Times New Roman" w:cs="Times New Roman"/>
          <w:sz w:val="36"/>
          <w:szCs w:val="36"/>
        </w:rPr>
        <w:t>”</w:t>
      </w:r>
      <w:r w:rsidR="004D714B">
        <w:rPr>
          <w:rFonts w:ascii="Times New Roman" w:hAnsi="Times New Roman" w:cs="Times New Roman"/>
          <w:sz w:val="36"/>
          <w:szCs w:val="36"/>
        </w:rPr>
        <w:t>azione rappresentativa collettiv</w:t>
      </w:r>
      <w:r w:rsidR="00532466">
        <w:rPr>
          <w:rFonts w:ascii="Times New Roman" w:hAnsi="Times New Roman" w:cs="Times New Roman"/>
          <w:sz w:val="36"/>
          <w:szCs w:val="36"/>
        </w:rPr>
        <w:t>a</w:t>
      </w:r>
      <w:r w:rsidR="009E6935">
        <w:rPr>
          <w:rFonts w:ascii="Times New Roman" w:hAnsi="Times New Roman" w:cs="Times New Roman"/>
          <w:sz w:val="36"/>
          <w:szCs w:val="36"/>
        </w:rPr>
        <w:t>”</w:t>
      </w:r>
      <w:r w:rsidR="00532466">
        <w:rPr>
          <w:rFonts w:ascii="Times New Roman" w:hAnsi="Times New Roman" w:cs="Times New Roman"/>
          <w:sz w:val="36"/>
          <w:szCs w:val="36"/>
        </w:rPr>
        <w:t xml:space="preserve"> in materia di tutela del consumatore </w:t>
      </w:r>
      <w:r w:rsidR="008D24C6">
        <w:rPr>
          <w:rFonts w:ascii="Times New Roman" w:hAnsi="Times New Roman" w:cs="Times New Roman"/>
          <w:sz w:val="36"/>
          <w:szCs w:val="36"/>
        </w:rPr>
        <w:t>fondata sul divieto delle pratiche commerciali sleali e sul divieto di utilizzo di condizioni generali di contratto nulle</w:t>
      </w:r>
      <w:r w:rsidR="0071055C">
        <w:rPr>
          <w:rFonts w:ascii="Times New Roman" w:hAnsi="Times New Roman" w:cs="Times New Roman"/>
          <w:sz w:val="36"/>
          <w:szCs w:val="36"/>
        </w:rPr>
        <w:t>, intentata da un’associazione senza scopo di lucro</w:t>
      </w:r>
      <w:r w:rsidR="00B22A76">
        <w:rPr>
          <w:rFonts w:ascii="Times New Roman" w:hAnsi="Times New Roman" w:cs="Times New Roman"/>
          <w:sz w:val="36"/>
          <w:szCs w:val="36"/>
        </w:rPr>
        <w:t xml:space="preserve"> in assenza di un mandato specifico </w:t>
      </w:r>
      <w:r w:rsidR="009E6935">
        <w:rPr>
          <w:rFonts w:ascii="Times New Roman" w:hAnsi="Times New Roman" w:cs="Times New Roman"/>
          <w:sz w:val="36"/>
          <w:szCs w:val="36"/>
        </w:rPr>
        <w:t>ed indipendentemente dalla viola</w:t>
      </w:r>
      <w:r w:rsidR="007D51F6">
        <w:rPr>
          <w:rFonts w:ascii="Times New Roman" w:hAnsi="Times New Roman" w:cs="Times New Roman"/>
          <w:sz w:val="36"/>
          <w:szCs w:val="36"/>
        </w:rPr>
        <w:t>zione di specifici diritti dell’interessato.</w:t>
      </w:r>
      <w:r w:rsidR="0069057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C04DBDD" w14:textId="6738B18A" w:rsidR="0069057F" w:rsidRDefault="0069057F" w:rsidP="003A7BD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 la pubblicazione nella Gazzetta Ufficiale n.8</w:t>
      </w:r>
      <w:r w:rsidR="00E32985">
        <w:rPr>
          <w:rFonts w:ascii="Times New Roman" w:hAnsi="Times New Roman" w:cs="Times New Roman"/>
          <w:sz w:val="36"/>
          <w:szCs w:val="36"/>
        </w:rPr>
        <w:t xml:space="preserve">6 del 12 Aprile 2022 del DM Giustizia 17 febbraio 2022 n.27 </w:t>
      </w:r>
      <w:r w:rsidR="00587B3C">
        <w:rPr>
          <w:rFonts w:ascii="Times New Roman" w:hAnsi="Times New Roman" w:cs="Times New Roman"/>
          <w:sz w:val="36"/>
          <w:szCs w:val="36"/>
        </w:rPr>
        <w:t>( intitolato &lt;Regolamento in materia di disciplina dell’elenco pubblico delle organizzazioni e associazioni di cui agli art.840 -bis del codice di procedura civile e 196-ter delle disposizioni per l’attuazione del codice di procedura civile, come introdott</w:t>
      </w:r>
      <w:r w:rsidR="00335315">
        <w:rPr>
          <w:rFonts w:ascii="Times New Roman" w:hAnsi="Times New Roman" w:cs="Times New Roman"/>
          <w:sz w:val="36"/>
          <w:szCs w:val="36"/>
        </w:rPr>
        <w:t>i dalla legge 12 aprile 2019 n.31, recante disposizioni in materia di azioni di classe&gt;</w:t>
      </w:r>
      <w:r w:rsidR="003074E2">
        <w:rPr>
          <w:rFonts w:ascii="Times New Roman" w:hAnsi="Times New Roman" w:cs="Times New Roman"/>
          <w:sz w:val="36"/>
          <w:szCs w:val="36"/>
        </w:rPr>
        <w:t>, è stato completato il nuovo quadro normativo delle “azioni collettive”</w:t>
      </w:r>
      <w:r w:rsidR="00C51E3E">
        <w:rPr>
          <w:rFonts w:ascii="Times New Roman" w:hAnsi="Times New Roman" w:cs="Times New Roman"/>
          <w:sz w:val="36"/>
          <w:szCs w:val="36"/>
        </w:rPr>
        <w:t xml:space="preserve">, entrato in vigore, in forza di vari rinvii, il </w:t>
      </w:r>
      <w:r w:rsidR="00C51E3E" w:rsidRPr="00C51E3E">
        <w:rPr>
          <w:rFonts w:ascii="Times New Roman" w:hAnsi="Times New Roman" w:cs="Times New Roman"/>
          <w:b/>
          <w:bCs/>
          <w:sz w:val="36"/>
          <w:szCs w:val="36"/>
        </w:rPr>
        <w:t>19 maggio 2021.</w:t>
      </w:r>
    </w:p>
    <w:p w14:paraId="04FFDE1E" w14:textId="5925B206" w:rsidR="001D1756" w:rsidRPr="00071699" w:rsidRDefault="001D1756" w:rsidP="003A7BD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D1756">
        <w:rPr>
          <w:rFonts w:ascii="Times New Roman" w:hAnsi="Times New Roman" w:cs="Times New Roman"/>
          <w:sz w:val="36"/>
          <w:szCs w:val="36"/>
        </w:rPr>
        <w:t xml:space="preserve">Come ben noto, </w:t>
      </w:r>
      <w:r w:rsidR="002F1527">
        <w:rPr>
          <w:rFonts w:ascii="Times New Roman" w:hAnsi="Times New Roman" w:cs="Times New Roman"/>
          <w:sz w:val="36"/>
          <w:szCs w:val="36"/>
        </w:rPr>
        <w:t>la riforma del 2019</w:t>
      </w:r>
      <w:r w:rsidR="00336B20">
        <w:rPr>
          <w:rFonts w:ascii="Times New Roman" w:hAnsi="Times New Roman" w:cs="Times New Roman"/>
          <w:sz w:val="36"/>
          <w:szCs w:val="36"/>
        </w:rPr>
        <w:t>, oltre a dettare nuove più dettagliate disposizioni processuali</w:t>
      </w:r>
      <w:r w:rsidR="008F5CF7">
        <w:rPr>
          <w:rFonts w:ascii="Times New Roman" w:hAnsi="Times New Roman" w:cs="Times New Roman"/>
          <w:sz w:val="36"/>
          <w:szCs w:val="36"/>
        </w:rPr>
        <w:t xml:space="preserve">, ha esteso l’ambito applicativo delle azioni di classi e inibitoria: queste, infatti, anteriormente </w:t>
      </w:r>
      <w:r w:rsidR="00D349C7">
        <w:rPr>
          <w:rFonts w:ascii="Times New Roman" w:hAnsi="Times New Roman" w:cs="Times New Roman"/>
          <w:sz w:val="36"/>
          <w:szCs w:val="36"/>
        </w:rPr>
        <w:t>alla legge di riforma n.31 del 2019, ai sensi degli articoli 37 e 140</w:t>
      </w:r>
      <w:r w:rsidR="0056212D">
        <w:rPr>
          <w:rFonts w:ascii="Times New Roman" w:hAnsi="Times New Roman" w:cs="Times New Roman"/>
          <w:sz w:val="36"/>
          <w:szCs w:val="36"/>
        </w:rPr>
        <w:t xml:space="preserve">-bis </w:t>
      </w:r>
      <w:r w:rsidR="0056212D">
        <w:rPr>
          <w:rFonts w:ascii="Times New Roman" w:hAnsi="Times New Roman" w:cs="Times New Roman"/>
          <w:sz w:val="36"/>
          <w:szCs w:val="36"/>
        </w:rPr>
        <w:lastRenderedPageBreak/>
        <w:t>del Codice del consumo ( Dlgs 6 settembre 2005 n.206)</w:t>
      </w:r>
      <w:r w:rsidR="00F83A76">
        <w:rPr>
          <w:rFonts w:ascii="Times New Roman" w:hAnsi="Times New Roman" w:cs="Times New Roman"/>
          <w:sz w:val="36"/>
          <w:szCs w:val="36"/>
        </w:rPr>
        <w:t>, potevano essere esperite soltanto per la tutela di diritti e interessi di consumatori e utenti, in relazione essenzialmente a rap</w:t>
      </w:r>
      <w:r w:rsidR="00FE28E8">
        <w:rPr>
          <w:rFonts w:ascii="Times New Roman" w:hAnsi="Times New Roman" w:cs="Times New Roman"/>
          <w:sz w:val="36"/>
          <w:szCs w:val="36"/>
        </w:rPr>
        <w:t>p</w:t>
      </w:r>
      <w:r w:rsidR="00F83A76">
        <w:rPr>
          <w:rFonts w:ascii="Times New Roman" w:hAnsi="Times New Roman" w:cs="Times New Roman"/>
          <w:sz w:val="36"/>
          <w:szCs w:val="36"/>
        </w:rPr>
        <w:t>orti di consumo</w:t>
      </w:r>
      <w:r w:rsidR="0063257E">
        <w:rPr>
          <w:rFonts w:ascii="Times New Roman" w:hAnsi="Times New Roman" w:cs="Times New Roman"/>
          <w:sz w:val="36"/>
          <w:szCs w:val="36"/>
        </w:rPr>
        <w:t xml:space="preserve">; </w:t>
      </w:r>
      <w:r w:rsidR="004F31F4">
        <w:rPr>
          <w:rFonts w:ascii="Times New Roman" w:hAnsi="Times New Roman" w:cs="Times New Roman"/>
          <w:sz w:val="36"/>
          <w:szCs w:val="36"/>
        </w:rPr>
        <w:t>attualmente, invece, queste azioni, indicate congiuntamente come “azioni collettive</w:t>
      </w:r>
      <w:r w:rsidR="000D5E15">
        <w:rPr>
          <w:rFonts w:ascii="Times New Roman" w:hAnsi="Times New Roman" w:cs="Times New Roman"/>
          <w:sz w:val="36"/>
          <w:szCs w:val="36"/>
        </w:rPr>
        <w:t>”, in forza degli articoli da 840-bis a 840-sexiesdecies del cpc, sono esperibili</w:t>
      </w:r>
      <w:r w:rsidR="00CF3D06">
        <w:rPr>
          <w:rFonts w:ascii="Times New Roman" w:hAnsi="Times New Roman" w:cs="Times New Roman"/>
          <w:sz w:val="36"/>
          <w:szCs w:val="36"/>
        </w:rPr>
        <w:t xml:space="preserve"> per la tutela di tutti i diritti individuali “</w:t>
      </w:r>
      <w:r w:rsidR="00CF3D06" w:rsidRPr="00E70F62">
        <w:rPr>
          <w:rFonts w:ascii="Times New Roman" w:hAnsi="Times New Roman" w:cs="Times New Roman"/>
          <w:b/>
          <w:bCs/>
          <w:sz w:val="36"/>
          <w:szCs w:val="36"/>
        </w:rPr>
        <w:t>omogenei</w:t>
      </w:r>
      <w:r w:rsidR="00CF3D06">
        <w:rPr>
          <w:rFonts w:ascii="Times New Roman" w:hAnsi="Times New Roman" w:cs="Times New Roman"/>
          <w:sz w:val="36"/>
          <w:szCs w:val="36"/>
        </w:rPr>
        <w:t>”</w:t>
      </w:r>
      <w:r w:rsidR="00E70F62">
        <w:rPr>
          <w:rFonts w:ascii="Times New Roman" w:hAnsi="Times New Roman" w:cs="Times New Roman"/>
          <w:sz w:val="36"/>
          <w:szCs w:val="36"/>
        </w:rPr>
        <w:t xml:space="preserve"> e di qualsiasi &lt;</w:t>
      </w:r>
      <w:r w:rsidR="00E70F62" w:rsidRPr="00E70F62">
        <w:rPr>
          <w:rFonts w:ascii="Times New Roman" w:hAnsi="Times New Roman" w:cs="Times New Roman"/>
          <w:b/>
          <w:bCs/>
          <w:sz w:val="36"/>
          <w:szCs w:val="36"/>
        </w:rPr>
        <w:t xml:space="preserve">interesse </w:t>
      </w:r>
      <w:r w:rsidR="00E70F62">
        <w:rPr>
          <w:rFonts w:ascii="Times New Roman" w:hAnsi="Times New Roman" w:cs="Times New Roman"/>
          <w:b/>
          <w:bCs/>
          <w:sz w:val="36"/>
          <w:szCs w:val="36"/>
        </w:rPr>
        <w:t>alla pronunci</w:t>
      </w:r>
      <w:r w:rsidR="00D54EC8">
        <w:rPr>
          <w:rFonts w:ascii="Times New Roman" w:hAnsi="Times New Roman" w:cs="Times New Roman"/>
          <w:b/>
          <w:bCs/>
          <w:sz w:val="36"/>
          <w:szCs w:val="36"/>
        </w:rPr>
        <w:t xml:space="preserve">a di una inibitoria di atti e comportamenti posti in essere in pregiudizio di una pluralità di individui </w:t>
      </w:r>
      <w:r w:rsidR="00083DBB">
        <w:rPr>
          <w:rFonts w:ascii="Times New Roman" w:hAnsi="Times New Roman" w:cs="Times New Roman"/>
          <w:b/>
          <w:bCs/>
          <w:sz w:val="36"/>
          <w:szCs w:val="36"/>
        </w:rPr>
        <w:t xml:space="preserve">o enti&gt;, </w:t>
      </w:r>
      <w:proofErr w:type="spellStart"/>
      <w:r w:rsidR="00083DBB" w:rsidRPr="00083DBB">
        <w:rPr>
          <w:rFonts w:ascii="Times New Roman" w:hAnsi="Times New Roman" w:cs="Times New Roman"/>
          <w:sz w:val="36"/>
          <w:szCs w:val="36"/>
        </w:rPr>
        <w:t>ancorchè</w:t>
      </w:r>
      <w:proofErr w:type="spellEnd"/>
      <w:r w:rsidR="00083DBB">
        <w:rPr>
          <w:rFonts w:ascii="Times New Roman" w:hAnsi="Times New Roman" w:cs="Times New Roman"/>
          <w:sz w:val="36"/>
          <w:szCs w:val="36"/>
        </w:rPr>
        <w:t xml:space="preserve"> la legittimazione passiva sia circoscritta</w:t>
      </w:r>
      <w:r w:rsidR="006E4322">
        <w:rPr>
          <w:rFonts w:ascii="Times New Roman" w:hAnsi="Times New Roman" w:cs="Times New Roman"/>
          <w:sz w:val="36"/>
          <w:szCs w:val="36"/>
        </w:rPr>
        <w:t xml:space="preserve"> dagli art.840-bis e 840-sexiesdecies, comma 2, &lt; </w:t>
      </w:r>
      <w:r w:rsidR="006E4322" w:rsidRPr="00A02045">
        <w:rPr>
          <w:rFonts w:ascii="Times New Roman" w:hAnsi="Times New Roman" w:cs="Times New Roman"/>
          <w:b/>
          <w:bCs/>
          <w:sz w:val="36"/>
          <w:szCs w:val="36"/>
        </w:rPr>
        <w:t>nei confronti di imprese</w:t>
      </w:r>
      <w:r w:rsidR="00A02045" w:rsidRPr="00A02045">
        <w:rPr>
          <w:rFonts w:ascii="Times New Roman" w:hAnsi="Times New Roman" w:cs="Times New Roman"/>
          <w:b/>
          <w:bCs/>
          <w:sz w:val="36"/>
          <w:szCs w:val="36"/>
        </w:rPr>
        <w:t xml:space="preserve"> ovvero</w:t>
      </w:r>
      <w:r w:rsidR="00A02045">
        <w:rPr>
          <w:rFonts w:ascii="Times New Roman" w:hAnsi="Times New Roman" w:cs="Times New Roman"/>
          <w:b/>
          <w:bCs/>
          <w:sz w:val="36"/>
          <w:szCs w:val="36"/>
        </w:rPr>
        <w:t xml:space="preserve"> nei confronti di enti gestori di servizi pubblici o di pubblica utilità</w:t>
      </w:r>
      <w:r w:rsidR="00A14D02">
        <w:rPr>
          <w:rFonts w:ascii="Times New Roman" w:hAnsi="Times New Roman" w:cs="Times New Roman"/>
          <w:b/>
          <w:bCs/>
          <w:sz w:val="36"/>
          <w:szCs w:val="36"/>
        </w:rPr>
        <w:t>&gt;.</w:t>
      </w:r>
      <w:r w:rsidR="009B06BC">
        <w:rPr>
          <w:rFonts w:ascii="Times New Roman" w:hAnsi="Times New Roman" w:cs="Times New Roman"/>
          <w:b/>
          <w:bCs/>
          <w:sz w:val="36"/>
          <w:szCs w:val="36"/>
        </w:rPr>
        <w:t xml:space="preserve"> Con tali articoli si è realizzata la </w:t>
      </w:r>
      <w:r w:rsidR="009B06BC" w:rsidRPr="009B06B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cd de-</w:t>
      </w:r>
      <w:proofErr w:type="spellStart"/>
      <w:r w:rsidR="009B06BC" w:rsidRPr="009B06B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consumerizzazione</w:t>
      </w:r>
      <w:proofErr w:type="spellEnd"/>
      <w:r w:rsidR="009B06B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dell’azione di classe</w:t>
      </w:r>
      <w:r w:rsidR="00D46D51">
        <w:rPr>
          <w:rStyle w:val="Rimandonotaapidipagina"/>
          <w:rFonts w:ascii="Times New Roman" w:hAnsi="Times New Roman" w:cs="Times New Roman"/>
          <w:b/>
          <w:bCs/>
          <w:i/>
          <w:iCs/>
          <w:sz w:val="36"/>
          <w:szCs w:val="36"/>
        </w:rPr>
        <w:footnoteReference w:id="4"/>
      </w:r>
      <w:r w:rsidR="0007169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, </w:t>
      </w:r>
      <w:r w:rsidR="00071699" w:rsidRPr="00071699">
        <w:rPr>
          <w:rFonts w:ascii="Times New Roman" w:hAnsi="Times New Roman" w:cs="Times New Roman"/>
          <w:b/>
          <w:bCs/>
          <w:sz w:val="36"/>
          <w:szCs w:val="36"/>
        </w:rPr>
        <w:t xml:space="preserve">non più limitata cioè alla sola tutela </w:t>
      </w:r>
      <w:r w:rsidR="00071699">
        <w:rPr>
          <w:rFonts w:ascii="Times New Roman" w:hAnsi="Times New Roman" w:cs="Times New Roman"/>
          <w:b/>
          <w:bCs/>
          <w:sz w:val="36"/>
          <w:szCs w:val="36"/>
        </w:rPr>
        <w:t xml:space="preserve">dei consumatori, ma a tutti gli interessi che presentino il carattere dell’omogeneità di sintesi ( </w:t>
      </w:r>
      <w:proofErr w:type="spellStart"/>
      <w:r w:rsidR="00071699">
        <w:rPr>
          <w:rFonts w:ascii="Times New Roman" w:hAnsi="Times New Roman" w:cs="Times New Roman"/>
          <w:b/>
          <w:bCs/>
          <w:sz w:val="36"/>
          <w:szCs w:val="36"/>
        </w:rPr>
        <w:t>Sassani</w:t>
      </w:r>
      <w:proofErr w:type="spellEnd"/>
      <w:r w:rsidR="00071699">
        <w:rPr>
          <w:rFonts w:ascii="Times New Roman" w:hAnsi="Times New Roman" w:cs="Times New Roman"/>
          <w:b/>
          <w:bCs/>
          <w:sz w:val="36"/>
          <w:szCs w:val="36"/>
        </w:rPr>
        <w:t>).</w:t>
      </w:r>
    </w:p>
    <w:p w14:paraId="55E7AC51" w14:textId="1C46DFB4" w:rsidR="00A14D02" w:rsidRDefault="00A14D02" w:rsidP="003A7BD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14D02">
        <w:rPr>
          <w:rFonts w:ascii="Times New Roman" w:hAnsi="Times New Roman" w:cs="Times New Roman"/>
          <w:sz w:val="36"/>
          <w:szCs w:val="36"/>
        </w:rPr>
        <w:t>Correlativamente</w:t>
      </w:r>
      <w:r w:rsidR="00A06CD4">
        <w:rPr>
          <w:rFonts w:ascii="Times New Roman" w:hAnsi="Times New Roman" w:cs="Times New Roman"/>
          <w:sz w:val="36"/>
          <w:szCs w:val="36"/>
        </w:rPr>
        <w:t xml:space="preserve">, la </w:t>
      </w:r>
      <w:r w:rsidR="00A06CD4" w:rsidRPr="00A06CD4">
        <w:rPr>
          <w:rFonts w:ascii="Times New Roman" w:hAnsi="Times New Roman" w:cs="Times New Roman"/>
          <w:b/>
          <w:bCs/>
          <w:sz w:val="36"/>
          <w:szCs w:val="36"/>
        </w:rPr>
        <w:t>legittimazione attiva</w:t>
      </w:r>
      <w:r w:rsidR="00A06C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6CD4" w:rsidRPr="00A06CD4">
        <w:rPr>
          <w:rFonts w:ascii="Times New Roman" w:hAnsi="Times New Roman" w:cs="Times New Roman"/>
          <w:sz w:val="36"/>
          <w:szCs w:val="36"/>
        </w:rPr>
        <w:t>all’esercizio</w:t>
      </w:r>
      <w:r w:rsidR="008167B5">
        <w:rPr>
          <w:rFonts w:ascii="Times New Roman" w:hAnsi="Times New Roman" w:cs="Times New Roman"/>
          <w:sz w:val="36"/>
          <w:szCs w:val="36"/>
        </w:rPr>
        <w:t xml:space="preserve"> delle azioni sia di classe, sia inibitorie collettive, è riconosciuta </w:t>
      </w:r>
      <w:r w:rsidR="00F70D31">
        <w:rPr>
          <w:rFonts w:ascii="Times New Roman" w:hAnsi="Times New Roman" w:cs="Times New Roman"/>
          <w:sz w:val="36"/>
          <w:szCs w:val="36"/>
        </w:rPr>
        <w:t>“</w:t>
      </w:r>
      <w:r w:rsidR="008167B5" w:rsidRPr="00F70D31">
        <w:rPr>
          <w:rFonts w:ascii="Times New Roman" w:hAnsi="Times New Roman" w:cs="Times New Roman"/>
          <w:b/>
          <w:bCs/>
          <w:sz w:val="36"/>
          <w:szCs w:val="36"/>
        </w:rPr>
        <w:t xml:space="preserve">non soltanto </w:t>
      </w:r>
      <w:r w:rsidR="00F70D31">
        <w:rPr>
          <w:rFonts w:ascii="Times New Roman" w:hAnsi="Times New Roman" w:cs="Times New Roman"/>
          <w:b/>
          <w:bCs/>
          <w:sz w:val="36"/>
          <w:szCs w:val="36"/>
        </w:rPr>
        <w:t xml:space="preserve">a ciascun componente della classe e a chiunque abbia interesse alla pronuncia di una inibitoria di atti e di comportamenti, </w:t>
      </w:r>
      <w:r w:rsidR="00DB4FA8">
        <w:rPr>
          <w:rFonts w:ascii="Times New Roman" w:hAnsi="Times New Roman" w:cs="Times New Roman"/>
          <w:b/>
          <w:bCs/>
          <w:sz w:val="36"/>
          <w:szCs w:val="36"/>
        </w:rPr>
        <w:t>ma anche a &lt;</w:t>
      </w:r>
      <w:r w:rsidR="00741668">
        <w:rPr>
          <w:rFonts w:ascii="Times New Roman" w:hAnsi="Times New Roman" w:cs="Times New Roman"/>
          <w:b/>
          <w:bCs/>
          <w:sz w:val="36"/>
          <w:szCs w:val="36"/>
        </w:rPr>
        <w:t>un’organizzazione o un’associazione senza scopo di lucro i cui obiettivi statutari</w:t>
      </w:r>
      <w:r w:rsidR="008D3F9D">
        <w:rPr>
          <w:rFonts w:ascii="Times New Roman" w:hAnsi="Times New Roman" w:cs="Times New Roman"/>
          <w:b/>
          <w:bCs/>
          <w:sz w:val="36"/>
          <w:szCs w:val="36"/>
        </w:rPr>
        <w:t xml:space="preserve"> comprendano la tutela sia dei predetti diritti sia degli interessi pregiudicati dalla condotta di cui si chiede l’inibitoria.</w:t>
      </w:r>
    </w:p>
    <w:p w14:paraId="1787339C" w14:textId="4EA3C230" w:rsidR="00012486" w:rsidRDefault="00012486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 w:rsidRPr="00012486">
        <w:rPr>
          <w:rFonts w:ascii="Times New Roman" w:hAnsi="Times New Roman" w:cs="Times New Roman"/>
          <w:sz w:val="36"/>
          <w:szCs w:val="36"/>
        </w:rPr>
        <w:t>In particolare</w:t>
      </w:r>
      <w:r>
        <w:rPr>
          <w:rFonts w:ascii="Times New Roman" w:hAnsi="Times New Roman" w:cs="Times New Roman"/>
          <w:sz w:val="36"/>
          <w:szCs w:val="36"/>
        </w:rPr>
        <w:t>, l’art.840-bis, comma 2 ( richiamato espressamente dall’art.840-sexiesdecies)</w:t>
      </w:r>
      <w:r w:rsidR="00D82F14">
        <w:rPr>
          <w:rFonts w:ascii="Times New Roman" w:hAnsi="Times New Roman" w:cs="Times New Roman"/>
          <w:sz w:val="36"/>
          <w:szCs w:val="36"/>
        </w:rPr>
        <w:t xml:space="preserve">, prevede che &lt; ferma la legittimazione </w:t>
      </w:r>
      <w:r w:rsidR="00D82F14">
        <w:rPr>
          <w:rFonts w:ascii="Times New Roman" w:hAnsi="Times New Roman" w:cs="Times New Roman"/>
          <w:sz w:val="36"/>
          <w:szCs w:val="36"/>
        </w:rPr>
        <w:lastRenderedPageBreak/>
        <w:t>di ciascun componente della classe</w:t>
      </w:r>
      <w:r w:rsidR="000C7C9C">
        <w:rPr>
          <w:rFonts w:ascii="Times New Roman" w:hAnsi="Times New Roman" w:cs="Times New Roman"/>
          <w:sz w:val="36"/>
          <w:szCs w:val="36"/>
        </w:rPr>
        <w:t xml:space="preserve">, possono proporre l’azione di cui al presente articolo esclusivamente </w:t>
      </w:r>
      <w:r w:rsidR="000C7C9C" w:rsidRPr="00576700">
        <w:rPr>
          <w:rFonts w:ascii="Times New Roman" w:hAnsi="Times New Roman" w:cs="Times New Roman"/>
          <w:b/>
          <w:bCs/>
          <w:sz w:val="36"/>
          <w:szCs w:val="36"/>
        </w:rPr>
        <w:t>le organizzazion</w:t>
      </w:r>
      <w:r w:rsidR="00576700" w:rsidRPr="00576700">
        <w:rPr>
          <w:rFonts w:ascii="Times New Roman" w:hAnsi="Times New Roman" w:cs="Times New Roman"/>
          <w:b/>
          <w:bCs/>
          <w:sz w:val="36"/>
          <w:szCs w:val="36"/>
        </w:rPr>
        <w:t>i e le associazioni iscritte</w:t>
      </w:r>
      <w:r w:rsidR="00576700">
        <w:rPr>
          <w:rFonts w:ascii="Times New Roman" w:hAnsi="Times New Roman" w:cs="Times New Roman"/>
          <w:b/>
          <w:bCs/>
          <w:sz w:val="36"/>
          <w:szCs w:val="36"/>
        </w:rPr>
        <w:t xml:space="preserve"> in un elenco pubblico istituito presso il Ministero della Giustizia”.</w:t>
      </w:r>
      <w:r w:rsidR="00F6701A">
        <w:rPr>
          <w:rFonts w:ascii="Times New Roman" w:hAnsi="Times New Roman" w:cs="Times New Roman"/>
          <w:b/>
          <w:bCs/>
          <w:sz w:val="36"/>
          <w:szCs w:val="36"/>
        </w:rPr>
        <w:t xml:space="preserve"> Ancor più nel dettaglio</w:t>
      </w:r>
      <w:r w:rsidR="00C97429">
        <w:rPr>
          <w:rFonts w:ascii="Times New Roman" w:hAnsi="Times New Roman" w:cs="Times New Roman"/>
          <w:b/>
          <w:bCs/>
          <w:sz w:val="36"/>
          <w:szCs w:val="36"/>
        </w:rPr>
        <w:t xml:space="preserve"> l’articolo 196 ter delle disposizioni d’attuazione del cpc , rubricato &lt;&lt;Elenco delle organizzazioni e associazioni legittimate all’azione di classe&gt; , </w:t>
      </w:r>
      <w:r w:rsidR="00C97429" w:rsidRPr="008F58F9">
        <w:rPr>
          <w:rFonts w:ascii="Times New Roman" w:hAnsi="Times New Roman" w:cs="Times New Roman"/>
          <w:sz w:val="36"/>
          <w:szCs w:val="36"/>
        </w:rPr>
        <w:t xml:space="preserve">inserito </w:t>
      </w:r>
      <w:r w:rsidR="008F58F9" w:rsidRPr="008F58F9">
        <w:rPr>
          <w:rFonts w:ascii="Times New Roman" w:hAnsi="Times New Roman" w:cs="Times New Roman"/>
          <w:sz w:val="36"/>
          <w:szCs w:val="36"/>
        </w:rPr>
        <w:t>dalla legge</w:t>
      </w:r>
      <w:r w:rsidR="008F58F9">
        <w:rPr>
          <w:rFonts w:ascii="Times New Roman" w:hAnsi="Times New Roman" w:cs="Times New Roman"/>
          <w:sz w:val="36"/>
          <w:szCs w:val="36"/>
        </w:rPr>
        <w:t xml:space="preserve"> n.31 del 2019, stabilisce le regole per l’adozione del  Regolamento</w:t>
      </w:r>
      <w:r w:rsidR="007512BD">
        <w:rPr>
          <w:rFonts w:ascii="Times New Roman" w:hAnsi="Times New Roman" w:cs="Times New Roman"/>
          <w:sz w:val="36"/>
          <w:szCs w:val="36"/>
        </w:rPr>
        <w:t xml:space="preserve"> e le materie che da questo devono essere disciplinate , cioè, analiticamente : </w:t>
      </w:r>
      <w:r w:rsidR="00EB1E71">
        <w:rPr>
          <w:rFonts w:ascii="Times New Roman" w:hAnsi="Times New Roman" w:cs="Times New Roman"/>
          <w:sz w:val="36"/>
          <w:szCs w:val="36"/>
        </w:rPr>
        <w:t>i requisiti per l’iscrizione nell’elenco, i criteri per la sospensione e la cancellazione delle organizzazioni e associazioni iscritte, contributi da versare per l’iscrizione</w:t>
      </w:r>
      <w:r w:rsidR="00D808F9">
        <w:rPr>
          <w:rFonts w:ascii="Times New Roman" w:hAnsi="Times New Roman" w:cs="Times New Roman"/>
          <w:sz w:val="36"/>
          <w:szCs w:val="36"/>
        </w:rPr>
        <w:t xml:space="preserve">, modalità di aggiornamento dell’elenco. </w:t>
      </w:r>
    </w:p>
    <w:p w14:paraId="7B5D8ECA" w14:textId="5BAFD459" w:rsidR="00DF21E4" w:rsidRPr="00DF21E4" w:rsidRDefault="00DF21E4" w:rsidP="003A7BD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F21E4">
        <w:rPr>
          <w:rFonts w:ascii="Times New Roman" w:hAnsi="Times New Roman" w:cs="Times New Roman"/>
          <w:b/>
          <w:bCs/>
          <w:sz w:val="36"/>
          <w:szCs w:val="36"/>
        </w:rPr>
        <w:t>Rapporti del nuovo Regolamento con il Regolamento n.260 del 2012.</w:t>
      </w:r>
    </w:p>
    <w:p w14:paraId="037238BF" w14:textId="35A97F21" w:rsidR="00DF21E4" w:rsidRDefault="00DF21E4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Come osservato dal parere n.1458 del 20 settembre 2021</w:t>
      </w:r>
      <w:r w:rsidR="003C643F">
        <w:rPr>
          <w:rFonts w:ascii="Times New Roman" w:hAnsi="Times New Roman" w:cs="Times New Roman"/>
          <w:sz w:val="36"/>
          <w:szCs w:val="36"/>
        </w:rPr>
        <w:t>, espresso dalla sezione consultiva per gli atti normativi del Consiglio di Stato, il nuovo regolament</w:t>
      </w:r>
      <w:r w:rsidR="003F0885">
        <w:rPr>
          <w:rFonts w:ascii="Times New Roman" w:hAnsi="Times New Roman" w:cs="Times New Roman"/>
          <w:sz w:val="36"/>
          <w:szCs w:val="36"/>
        </w:rPr>
        <w:t>o è stato redatto sulla base di quello di cui al DM 21 dicembre 2012 n.260</w:t>
      </w:r>
      <w:r w:rsidR="00640CC9">
        <w:rPr>
          <w:rFonts w:ascii="Times New Roman" w:hAnsi="Times New Roman" w:cs="Times New Roman"/>
          <w:sz w:val="36"/>
          <w:szCs w:val="36"/>
        </w:rPr>
        <w:t>,</w:t>
      </w:r>
      <w:r w:rsidR="00BF5B8F">
        <w:rPr>
          <w:rFonts w:ascii="Times New Roman" w:hAnsi="Times New Roman" w:cs="Times New Roman"/>
          <w:sz w:val="36"/>
          <w:szCs w:val="36"/>
        </w:rPr>
        <w:t xml:space="preserve"> r</w:t>
      </w:r>
      <w:r w:rsidR="00640CC9">
        <w:rPr>
          <w:rFonts w:ascii="Times New Roman" w:hAnsi="Times New Roman" w:cs="Times New Roman"/>
          <w:sz w:val="36"/>
          <w:szCs w:val="36"/>
        </w:rPr>
        <w:t xml:space="preserve">ecante </w:t>
      </w:r>
      <w:r w:rsidR="00BF5B8F" w:rsidRPr="00BF5B8F">
        <w:rPr>
          <w:rFonts w:ascii="Times New Roman" w:hAnsi="Times New Roman" w:cs="Times New Roman"/>
          <w:i/>
          <w:iCs/>
          <w:sz w:val="36"/>
          <w:szCs w:val="36"/>
        </w:rPr>
        <w:t>&lt;</w:t>
      </w:r>
      <w:r w:rsidR="00640CC9" w:rsidRPr="00BF5B8F">
        <w:rPr>
          <w:rFonts w:ascii="Times New Roman" w:hAnsi="Times New Roman" w:cs="Times New Roman"/>
          <w:i/>
          <w:iCs/>
          <w:sz w:val="36"/>
          <w:szCs w:val="36"/>
        </w:rPr>
        <w:t>norme per l’iscrizione nell’elenco delle associazioni dei consumatori e degli utenti rappresentative a livello nazionale, ai sensi dell’art.137,</w:t>
      </w:r>
      <w:r w:rsidR="00640CC9">
        <w:rPr>
          <w:rFonts w:ascii="Times New Roman" w:hAnsi="Times New Roman" w:cs="Times New Roman"/>
          <w:sz w:val="36"/>
          <w:szCs w:val="36"/>
        </w:rPr>
        <w:t xml:space="preserve"> </w:t>
      </w:r>
      <w:r w:rsidR="00640CC9" w:rsidRPr="00BF5B8F">
        <w:rPr>
          <w:rFonts w:ascii="Times New Roman" w:hAnsi="Times New Roman" w:cs="Times New Roman"/>
          <w:i/>
          <w:iCs/>
          <w:sz w:val="36"/>
          <w:szCs w:val="36"/>
        </w:rPr>
        <w:t>comma 2, del Codice del Consumo</w:t>
      </w:r>
      <w:r w:rsidR="00740ED7">
        <w:rPr>
          <w:rFonts w:ascii="Times New Roman" w:hAnsi="Times New Roman" w:cs="Times New Roman"/>
          <w:sz w:val="36"/>
          <w:szCs w:val="36"/>
        </w:rPr>
        <w:t>&gt;. Questo elenco, già esistente e tenuto dal MIS</w:t>
      </w:r>
      <w:r w:rsidR="00597406">
        <w:rPr>
          <w:rFonts w:ascii="Times New Roman" w:hAnsi="Times New Roman" w:cs="Times New Roman"/>
          <w:sz w:val="36"/>
          <w:szCs w:val="36"/>
        </w:rPr>
        <w:t>E</w:t>
      </w:r>
      <w:r w:rsidR="00740ED7">
        <w:rPr>
          <w:rFonts w:ascii="Times New Roman" w:hAnsi="Times New Roman" w:cs="Times New Roman"/>
          <w:sz w:val="36"/>
          <w:szCs w:val="36"/>
        </w:rPr>
        <w:t xml:space="preserve"> rimane attivo per gli ulteriori e diversi fin</w:t>
      </w:r>
      <w:r w:rsidR="007E55AE">
        <w:rPr>
          <w:rFonts w:ascii="Times New Roman" w:hAnsi="Times New Roman" w:cs="Times New Roman"/>
          <w:sz w:val="36"/>
          <w:szCs w:val="36"/>
        </w:rPr>
        <w:t>i di cui al Codice del Consumo, non venendo sostituito dal nuovo.</w:t>
      </w:r>
    </w:p>
    <w:p w14:paraId="11F3D4C5" w14:textId="30209153" w:rsidR="00224C8B" w:rsidRDefault="00224C8B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Nel contempo, peraltro, le venti associazioni di consumatori e utenti che risultano attualmente iscritte per l’anno 2021 nell’elenco del MISE</w:t>
      </w:r>
      <w:r w:rsidR="00FD7320">
        <w:rPr>
          <w:rFonts w:ascii="Times New Roman" w:hAnsi="Times New Roman" w:cs="Times New Roman"/>
          <w:sz w:val="36"/>
          <w:szCs w:val="36"/>
        </w:rPr>
        <w:t>, ai sensi dell’articolo 2 comma 4, del nuovo regolamento, sono “</w:t>
      </w:r>
      <w:r w:rsidR="00FD7320" w:rsidRPr="00091067">
        <w:rPr>
          <w:rFonts w:ascii="Times New Roman" w:hAnsi="Times New Roman" w:cs="Times New Roman"/>
          <w:b/>
          <w:bCs/>
          <w:sz w:val="36"/>
          <w:szCs w:val="36"/>
        </w:rPr>
        <w:t>incluse</w:t>
      </w:r>
      <w:r w:rsidR="00FD7320">
        <w:rPr>
          <w:rFonts w:ascii="Times New Roman" w:hAnsi="Times New Roman" w:cs="Times New Roman"/>
          <w:sz w:val="36"/>
          <w:szCs w:val="36"/>
        </w:rPr>
        <w:t xml:space="preserve">” nel nuovo elenco tenuto </w:t>
      </w:r>
      <w:r w:rsidR="006D26A4">
        <w:rPr>
          <w:rFonts w:ascii="Times New Roman" w:hAnsi="Times New Roman" w:cs="Times New Roman"/>
          <w:sz w:val="36"/>
          <w:szCs w:val="36"/>
        </w:rPr>
        <w:t xml:space="preserve">dal Ministero della Giustizia”, ai fini del primo popolamento di questo. </w:t>
      </w:r>
      <w:r w:rsidR="00D873A7">
        <w:rPr>
          <w:rFonts w:ascii="Times New Roman" w:hAnsi="Times New Roman" w:cs="Times New Roman"/>
          <w:sz w:val="36"/>
          <w:szCs w:val="36"/>
        </w:rPr>
        <w:t xml:space="preserve">In particolare, </w:t>
      </w:r>
      <w:r w:rsidR="00382A4A">
        <w:rPr>
          <w:rFonts w:ascii="Times New Roman" w:hAnsi="Times New Roman" w:cs="Times New Roman"/>
          <w:sz w:val="36"/>
          <w:szCs w:val="36"/>
        </w:rPr>
        <w:t xml:space="preserve">considerato che nel parere del Consiglio di </w:t>
      </w:r>
      <w:r w:rsidR="00382A4A">
        <w:rPr>
          <w:rFonts w:ascii="Times New Roman" w:hAnsi="Times New Roman" w:cs="Times New Roman"/>
          <w:sz w:val="36"/>
          <w:szCs w:val="36"/>
        </w:rPr>
        <w:lastRenderedPageBreak/>
        <w:t>Stato era stato suggerito di specificare le modalità di iscrizione di questi soggetti, deve ritenersi che la “inclusione</w:t>
      </w:r>
      <w:r w:rsidR="007D3FBB">
        <w:rPr>
          <w:rFonts w:ascii="Times New Roman" w:hAnsi="Times New Roman" w:cs="Times New Roman"/>
          <w:sz w:val="36"/>
          <w:szCs w:val="36"/>
        </w:rPr>
        <w:t>” operi d’ufficio ex lege, senza la necessità non soltanto che presentino una domanda di iscrizione, ma neanche che versino il contributo di 200 euro per l’iscrizione</w:t>
      </w:r>
      <w:r w:rsidR="00C857EE">
        <w:rPr>
          <w:rFonts w:ascii="Times New Roman" w:hAnsi="Times New Roman" w:cs="Times New Roman"/>
          <w:sz w:val="36"/>
          <w:szCs w:val="36"/>
        </w:rPr>
        <w:t>.</w:t>
      </w:r>
    </w:p>
    <w:p w14:paraId="6C73EDED" w14:textId="7F729B0C" w:rsidR="00C857EE" w:rsidRDefault="00C857EE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 scelta di prevedere che questo “primo popolamento” avvenga in modo automatico è condivisibile</w:t>
      </w:r>
      <w:r w:rsidR="00BF2833">
        <w:rPr>
          <w:rFonts w:ascii="Times New Roman" w:hAnsi="Times New Roman" w:cs="Times New Roman"/>
          <w:sz w:val="36"/>
          <w:szCs w:val="36"/>
        </w:rPr>
        <w:t xml:space="preserve">, perché consente che , senza soluzione di continuità, le azioni collettive possano essere </w:t>
      </w:r>
      <w:r w:rsidR="003E5E86">
        <w:rPr>
          <w:rFonts w:ascii="Times New Roman" w:hAnsi="Times New Roman" w:cs="Times New Roman"/>
          <w:sz w:val="36"/>
          <w:szCs w:val="36"/>
        </w:rPr>
        <w:t>proposte non soltanto da singoli componenti delle classi, ma anche da enti esponenziali</w:t>
      </w:r>
      <w:r w:rsidR="00D03F10">
        <w:rPr>
          <w:rFonts w:ascii="Times New Roman" w:hAnsi="Times New Roman" w:cs="Times New Roman"/>
          <w:sz w:val="36"/>
          <w:szCs w:val="36"/>
        </w:rPr>
        <w:t>, dotati di un’organizzazione e delle</w:t>
      </w:r>
      <w:r w:rsidR="00936F5B">
        <w:rPr>
          <w:rFonts w:ascii="Times New Roman" w:hAnsi="Times New Roman" w:cs="Times New Roman"/>
          <w:sz w:val="36"/>
          <w:szCs w:val="36"/>
        </w:rPr>
        <w:t xml:space="preserve"> risorse necessarie per curare adeguatamente lo svolgimento di un processo di classe. </w:t>
      </w:r>
    </w:p>
    <w:p w14:paraId="6AB31AF6" w14:textId="07FCC9B7" w:rsidR="001E7C04" w:rsidRDefault="001E7C04" w:rsidP="003A7BD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particolare , in forza della lettera c) del comma 2 dell’articolo 1, possono </w:t>
      </w:r>
      <w:r w:rsidR="00F73FCE">
        <w:rPr>
          <w:rFonts w:ascii="Times New Roman" w:hAnsi="Times New Roman" w:cs="Times New Roman"/>
          <w:sz w:val="36"/>
          <w:szCs w:val="36"/>
        </w:rPr>
        <w:t xml:space="preserve">chiedere l’iscrizione all’elenco &lt; </w:t>
      </w:r>
      <w:r w:rsidR="00F73FCE" w:rsidRPr="0099118E">
        <w:rPr>
          <w:rFonts w:ascii="Times New Roman" w:hAnsi="Times New Roman" w:cs="Times New Roman"/>
          <w:i/>
          <w:iCs/>
          <w:sz w:val="36"/>
          <w:szCs w:val="36"/>
        </w:rPr>
        <w:t xml:space="preserve">gli enti individuati dall’art.4 del Codice del Terzo </w:t>
      </w:r>
      <w:r w:rsidR="00413710" w:rsidRPr="0099118E">
        <w:rPr>
          <w:rFonts w:ascii="Times New Roman" w:hAnsi="Times New Roman" w:cs="Times New Roman"/>
          <w:i/>
          <w:iCs/>
          <w:sz w:val="36"/>
          <w:szCs w:val="36"/>
        </w:rPr>
        <w:t>Settore Dlgs 3 luglio 2017 n.117</w:t>
      </w:r>
      <w:r w:rsidR="0099118E">
        <w:rPr>
          <w:rFonts w:ascii="Times New Roman" w:hAnsi="Times New Roman" w:cs="Times New Roman"/>
          <w:sz w:val="36"/>
          <w:szCs w:val="36"/>
        </w:rPr>
        <w:t>&gt;</w:t>
      </w:r>
      <w:r w:rsidR="0041371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95724">
        <w:rPr>
          <w:rFonts w:ascii="Times New Roman" w:hAnsi="Times New Roman" w:cs="Times New Roman"/>
          <w:sz w:val="36"/>
          <w:szCs w:val="36"/>
        </w:rPr>
        <w:t>e,cioè</w:t>
      </w:r>
      <w:proofErr w:type="spellEnd"/>
      <w:r w:rsidR="00595724">
        <w:rPr>
          <w:rFonts w:ascii="Times New Roman" w:hAnsi="Times New Roman" w:cs="Times New Roman"/>
          <w:sz w:val="36"/>
          <w:szCs w:val="36"/>
        </w:rPr>
        <w:t>, : organizzazioni di volontariato, associazioni di promozione sociale,</w:t>
      </w:r>
      <w:r w:rsidR="00E73682">
        <w:rPr>
          <w:rFonts w:ascii="Times New Roman" w:hAnsi="Times New Roman" w:cs="Times New Roman"/>
          <w:sz w:val="36"/>
          <w:szCs w:val="36"/>
        </w:rPr>
        <w:t xml:space="preserve"> enti filantropici, reti associative, società </w:t>
      </w:r>
      <w:r w:rsidR="003468D0">
        <w:rPr>
          <w:rFonts w:ascii="Times New Roman" w:hAnsi="Times New Roman" w:cs="Times New Roman"/>
          <w:sz w:val="36"/>
          <w:szCs w:val="36"/>
        </w:rPr>
        <w:t>di mutuo soccorso, associazioni riconosciute o non riconosciute</w:t>
      </w:r>
      <w:r w:rsidR="00DD7560">
        <w:rPr>
          <w:rFonts w:ascii="Times New Roman" w:hAnsi="Times New Roman" w:cs="Times New Roman"/>
          <w:sz w:val="36"/>
          <w:szCs w:val="36"/>
        </w:rPr>
        <w:t xml:space="preserve">, le fondazioni e gli altri enti di carattere privato </w:t>
      </w:r>
      <w:r w:rsidR="007B1B15">
        <w:rPr>
          <w:rFonts w:ascii="Times New Roman" w:hAnsi="Times New Roman" w:cs="Times New Roman"/>
          <w:sz w:val="36"/>
          <w:szCs w:val="36"/>
        </w:rPr>
        <w:t>diversi dalle società costituiti per il perseguimento, senza scopo di lucro, di finalità civiche, solidaristiche e di utilità</w:t>
      </w:r>
      <w:r w:rsidR="00663401">
        <w:rPr>
          <w:rFonts w:ascii="Times New Roman" w:hAnsi="Times New Roman" w:cs="Times New Roman"/>
          <w:sz w:val="36"/>
          <w:szCs w:val="36"/>
        </w:rPr>
        <w:t xml:space="preserve"> sociale mediante lo svolgimento</w:t>
      </w:r>
      <w:r w:rsidR="00F17C9A">
        <w:rPr>
          <w:rFonts w:ascii="Times New Roman" w:hAnsi="Times New Roman" w:cs="Times New Roman"/>
          <w:sz w:val="36"/>
          <w:szCs w:val="36"/>
        </w:rPr>
        <w:t xml:space="preserve"> in via esclusiva o principale</w:t>
      </w:r>
      <w:r w:rsidR="00975CFD">
        <w:rPr>
          <w:rFonts w:ascii="Times New Roman" w:hAnsi="Times New Roman" w:cs="Times New Roman"/>
          <w:sz w:val="36"/>
          <w:szCs w:val="36"/>
        </w:rPr>
        <w:t>, di una o più attività di interesse generale in forma di azione volontaria o di erogazion</w:t>
      </w:r>
      <w:r w:rsidR="00E76EA6">
        <w:rPr>
          <w:rFonts w:ascii="Times New Roman" w:hAnsi="Times New Roman" w:cs="Times New Roman"/>
          <w:sz w:val="36"/>
          <w:szCs w:val="36"/>
        </w:rPr>
        <w:t xml:space="preserve">e gratuita di denaro, beni o servizi, o di mutualità </w:t>
      </w:r>
      <w:r w:rsidR="00B20D42">
        <w:rPr>
          <w:rFonts w:ascii="Times New Roman" w:hAnsi="Times New Roman" w:cs="Times New Roman"/>
          <w:sz w:val="36"/>
          <w:szCs w:val="36"/>
        </w:rPr>
        <w:t xml:space="preserve">o di produzione o scambio di beni o servizi ed iscritti nel </w:t>
      </w:r>
      <w:r w:rsidR="0099118E">
        <w:rPr>
          <w:rFonts w:ascii="Times New Roman" w:hAnsi="Times New Roman" w:cs="Times New Roman"/>
          <w:sz w:val="36"/>
          <w:szCs w:val="36"/>
        </w:rPr>
        <w:t>R</w:t>
      </w:r>
      <w:r w:rsidR="00B20D42">
        <w:rPr>
          <w:rFonts w:ascii="Times New Roman" w:hAnsi="Times New Roman" w:cs="Times New Roman"/>
          <w:sz w:val="36"/>
          <w:szCs w:val="36"/>
        </w:rPr>
        <w:t xml:space="preserve">egistro </w:t>
      </w:r>
      <w:r w:rsidR="0099118E">
        <w:rPr>
          <w:rFonts w:ascii="Times New Roman" w:hAnsi="Times New Roman" w:cs="Times New Roman"/>
          <w:sz w:val="36"/>
          <w:szCs w:val="36"/>
        </w:rPr>
        <w:t>U</w:t>
      </w:r>
      <w:r w:rsidR="00B20D42">
        <w:rPr>
          <w:rFonts w:ascii="Times New Roman" w:hAnsi="Times New Roman" w:cs="Times New Roman"/>
          <w:sz w:val="36"/>
          <w:szCs w:val="36"/>
        </w:rPr>
        <w:t xml:space="preserve">nico </w:t>
      </w:r>
      <w:r w:rsidR="0099118E">
        <w:rPr>
          <w:rFonts w:ascii="Times New Roman" w:hAnsi="Times New Roman" w:cs="Times New Roman"/>
          <w:sz w:val="36"/>
          <w:szCs w:val="36"/>
        </w:rPr>
        <w:t>N</w:t>
      </w:r>
      <w:r w:rsidR="00B20D42">
        <w:rPr>
          <w:rFonts w:ascii="Times New Roman" w:hAnsi="Times New Roman" w:cs="Times New Roman"/>
          <w:sz w:val="36"/>
          <w:szCs w:val="36"/>
        </w:rPr>
        <w:t xml:space="preserve">azionale </w:t>
      </w:r>
      <w:r w:rsidR="002B2A84">
        <w:rPr>
          <w:rFonts w:ascii="Times New Roman" w:hAnsi="Times New Roman" w:cs="Times New Roman"/>
          <w:sz w:val="36"/>
          <w:szCs w:val="36"/>
        </w:rPr>
        <w:t xml:space="preserve">del Terzo </w:t>
      </w:r>
      <w:r w:rsidR="0099118E">
        <w:rPr>
          <w:rFonts w:ascii="Times New Roman" w:hAnsi="Times New Roman" w:cs="Times New Roman"/>
          <w:sz w:val="36"/>
          <w:szCs w:val="36"/>
        </w:rPr>
        <w:t>S</w:t>
      </w:r>
      <w:r w:rsidR="002B2A84">
        <w:rPr>
          <w:rFonts w:ascii="Times New Roman" w:hAnsi="Times New Roman" w:cs="Times New Roman"/>
          <w:sz w:val="36"/>
          <w:szCs w:val="36"/>
        </w:rPr>
        <w:t>ettore.</w:t>
      </w:r>
    </w:p>
    <w:p w14:paraId="058A3A1D" w14:textId="491E299C" w:rsidR="002B2A84" w:rsidRPr="006A35ED" w:rsidRDefault="002B2A84" w:rsidP="003A7BD2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Secondo quanto previsto dall’articolo 4, comma 3</w:t>
      </w:r>
      <w:r w:rsidR="00333573">
        <w:rPr>
          <w:rFonts w:ascii="Times New Roman" w:hAnsi="Times New Roman" w:cs="Times New Roman"/>
          <w:sz w:val="36"/>
          <w:szCs w:val="36"/>
        </w:rPr>
        <w:t xml:space="preserve">, del Codice del Terzo </w:t>
      </w:r>
      <w:r w:rsidR="0099118E">
        <w:rPr>
          <w:rFonts w:ascii="Times New Roman" w:hAnsi="Times New Roman" w:cs="Times New Roman"/>
          <w:sz w:val="36"/>
          <w:szCs w:val="36"/>
        </w:rPr>
        <w:t>S</w:t>
      </w:r>
      <w:r w:rsidR="00333573">
        <w:rPr>
          <w:rFonts w:ascii="Times New Roman" w:hAnsi="Times New Roman" w:cs="Times New Roman"/>
          <w:sz w:val="36"/>
          <w:szCs w:val="36"/>
        </w:rPr>
        <w:t>ettore, sembra doversi ammettere che possano essere iscritt</w:t>
      </w:r>
      <w:r w:rsidR="001254BC">
        <w:rPr>
          <w:rFonts w:ascii="Times New Roman" w:hAnsi="Times New Roman" w:cs="Times New Roman"/>
          <w:sz w:val="36"/>
          <w:szCs w:val="36"/>
        </w:rPr>
        <w:t>i nell’elenco in esame anche gli “</w:t>
      </w:r>
      <w:r w:rsidR="001254BC" w:rsidRPr="001254BC">
        <w:rPr>
          <w:rFonts w:ascii="Times New Roman" w:hAnsi="Times New Roman" w:cs="Times New Roman"/>
          <w:b/>
          <w:bCs/>
          <w:sz w:val="36"/>
          <w:szCs w:val="36"/>
        </w:rPr>
        <w:t>enti religiosi civilmente riconosciuti”</w:t>
      </w:r>
      <w:r w:rsidR="001254BC">
        <w:rPr>
          <w:rFonts w:ascii="Times New Roman" w:hAnsi="Times New Roman" w:cs="Times New Roman"/>
          <w:b/>
          <w:bCs/>
          <w:sz w:val="36"/>
          <w:szCs w:val="36"/>
        </w:rPr>
        <w:t xml:space="preserve"> e le “fabbricerie”</w:t>
      </w:r>
      <w:r w:rsidR="00693E7F">
        <w:rPr>
          <w:rFonts w:ascii="Times New Roman" w:hAnsi="Times New Roman" w:cs="Times New Roman"/>
          <w:b/>
          <w:bCs/>
          <w:sz w:val="36"/>
          <w:szCs w:val="36"/>
        </w:rPr>
        <w:t xml:space="preserve"> ex art.72 L.20 maggio 1985 </w:t>
      </w:r>
      <w:r w:rsidR="00693E7F">
        <w:rPr>
          <w:rFonts w:ascii="Times New Roman" w:hAnsi="Times New Roman" w:cs="Times New Roman"/>
          <w:b/>
          <w:bCs/>
          <w:sz w:val="36"/>
          <w:szCs w:val="36"/>
        </w:rPr>
        <w:lastRenderedPageBreak/>
        <w:t>n.222</w:t>
      </w:r>
      <w:r w:rsidR="00971ECD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971ECD" w:rsidRPr="00971ECD">
        <w:rPr>
          <w:rFonts w:ascii="Times New Roman" w:hAnsi="Times New Roman" w:cs="Times New Roman"/>
          <w:sz w:val="36"/>
          <w:szCs w:val="36"/>
        </w:rPr>
        <w:t xml:space="preserve">&lt; </w:t>
      </w:r>
      <w:r w:rsidR="00971ECD" w:rsidRPr="0099118E">
        <w:rPr>
          <w:rFonts w:ascii="Times New Roman" w:hAnsi="Times New Roman" w:cs="Times New Roman"/>
          <w:i/>
          <w:iCs/>
          <w:sz w:val="36"/>
          <w:szCs w:val="36"/>
        </w:rPr>
        <w:t xml:space="preserve">a condizione che adottino un regolamento in forma di atto pubblico o scrittura privata autenticata che, </w:t>
      </w:r>
      <w:r w:rsidR="007D2E1B" w:rsidRPr="0099118E">
        <w:rPr>
          <w:rFonts w:ascii="Times New Roman" w:hAnsi="Times New Roman" w:cs="Times New Roman"/>
          <w:i/>
          <w:iCs/>
          <w:sz w:val="36"/>
          <w:szCs w:val="36"/>
        </w:rPr>
        <w:t>ove non diversamente previsto ed in ogni caso nel risetto della struttura e delle finalità di tali enti</w:t>
      </w:r>
      <w:r w:rsidR="00441236" w:rsidRPr="0099118E">
        <w:rPr>
          <w:rFonts w:ascii="Times New Roman" w:hAnsi="Times New Roman" w:cs="Times New Roman"/>
          <w:i/>
          <w:iCs/>
          <w:sz w:val="36"/>
          <w:szCs w:val="36"/>
        </w:rPr>
        <w:t>, recepisca le norme del presente Codice e sia depositato nel Registro unico nazionale del Terzo settore</w:t>
      </w:r>
      <w:r w:rsidR="00E31227" w:rsidRPr="0099118E">
        <w:rPr>
          <w:rFonts w:ascii="Times New Roman" w:hAnsi="Times New Roman" w:cs="Times New Roman"/>
          <w:i/>
          <w:iCs/>
          <w:sz w:val="36"/>
          <w:szCs w:val="36"/>
        </w:rPr>
        <w:t xml:space="preserve"> e che per lo svolgimento di queste attività sia “costituito</w:t>
      </w:r>
      <w:r w:rsidR="00A611FD" w:rsidRPr="0099118E">
        <w:rPr>
          <w:rFonts w:ascii="Times New Roman" w:hAnsi="Times New Roman" w:cs="Times New Roman"/>
          <w:i/>
          <w:iCs/>
          <w:sz w:val="36"/>
          <w:szCs w:val="36"/>
        </w:rPr>
        <w:t xml:space="preserve"> un patrimonio destinato e siano tenute separatamente le scritture contabili</w:t>
      </w:r>
      <w:r w:rsidR="00A611FD">
        <w:rPr>
          <w:rFonts w:ascii="Times New Roman" w:hAnsi="Times New Roman" w:cs="Times New Roman"/>
          <w:sz w:val="36"/>
          <w:szCs w:val="36"/>
        </w:rPr>
        <w:t>&gt;.</w:t>
      </w:r>
      <w:r w:rsidR="00A52A74">
        <w:rPr>
          <w:rFonts w:ascii="Times New Roman" w:hAnsi="Times New Roman" w:cs="Times New Roman"/>
          <w:sz w:val="36"/>
          <w:szCs w:val="36"/>
        </w:rPr>
        <w:t xml:space="preserve"> Sul Terzo Settore è stato osservato che si è in presenza di un nuovo esempio di </w:t>
      </w:r>
      <w:r w:rsidR="00A52A74" w:rsidRPr="0099118E">
        <w:rPr>
          <w:rFonts w:ascii="Times New Roman" w:hAnsi="Times New Roman" w:cs="Times New Roman"/>
          <w:i/>
          <w:iCs/>
          <w:sz w:val="36"/>
          <w:szCs w:val="36"/>
        </w:rPr>
        <w:t>polimor</w:t>
      </w:r>
      <w:r w:rsidR="00A72494" w:rsidRPr="0099118E">
        <w:rPr>
          <w:rFonts w:ascii="Times New Roman" w:hAnsi="Times New Roman" w:cs="Times New Roman"/>
          <w:i/>
          <w:iCs/>
          <w:sz w:val="36"/>
          <w:szCs w:val="36"/>
        </w:rPr>
        <w:t>fismo della soggettività giuridica</w:t>
      </w:r>
      <w:r w:rsidR="00B34AA2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5"/>
      </w:r>
      <w:r w:rsidR="00B34B47">
        <w:rPr>
          <w:rFonts w:ascii="Times New Roman" w:hAnsi="Times New Roman" w:cs="Times New Roman"/>
          <w:sz w:val="36"/>
          <w:szCs w:val="36"/>
        </w:rPr>
        <w:t xml:space="preserve"> </w:t>
      </w:r>
      <w:r w:rsidR="00A72494">
        <w:rPr>
          <w:rFonts w:ascii="Times New Roman" w:hAnsi="Times New Roman" w:cs="Times New Roman"/>
          <w:sz w:val="36"/>
          <w:szCs w:val="36"/>
        </w:rPr>
        <w:t xml:space="preserve">: ci si è chiesti se alla </w:t>
      </w:r>
      <w:proofErr w:type="spellStart"/>
      <w:r w:rsidR="00A72494">
        <w:rPr>
          <w:rFonts w:ascii="Times New Roman" w:hAnsi="Times New Roman" w:cs="Times New Roman"/>
          <w:sz w:val="36"/>
          <w:szCs w:val="36"/>
        </w:rPr>
        <w:t>positivizzazione</w:t>
      </w:r>
      <w:proofErr w:type="spellEnd"/>
      <w:r w:rsidR="00A72494">
        <w:rPr>
          <w:rFonts w:ascii="Times New Roman" w:hAnsi="Times New Roman" w:cs="Times New Roman"/>
          <w:sz w:val="36"/>
          <w:szCs w:val="36"/>
        </w:rPr>
        <w:t xml:space="preserve"> nominalistica corrisponda una </w:t>
      </w:r>
      <w:proofErr w:type="spellStart"/>
      <w:r w:rsidR="00A72494">
        <w:rPr>
          <w:rFonts w:ascii="Times New Roman" w:hAnsi="Times New Roman" w:cs="Times New Roman"/>
          <w:sz w:val="36"/>
          <w:szCs w:val="36"/>
        </w:rPr>
        <w:t>giuridicizzazione</w:t>
      </w:r>
      <w:proofErr w:type="spellEnd"/>
      <w:r w:rsidR="00A72494">
        <w:rPr>
          <w:rFonts w:ascii="Times New Roman" w:hAnsi="Times New Roman" w:cs="Times New Roman"/>
          <w:sz w:val="36"/>
          <w:szCs w:val="36"/>
        </w:rPr>
        <w:t xml:space="preserve"> contenutistica</w:t>
      </w:r>
      <w:r w:rsidR="007752BA">
        <w:rPr>
          <w:rFonts w:ascii="Times New Roman" w:hAnsi="Times New Roman" w:cs="Times New Roman"/>
          <w:sz w:val="36"/>
          <w:szCs w:val="36"/>
        </w:rPr>
        <w:t xml:space="preserve">. Dalla teoria della finzione di </w:t>
      </w:r>
      <w:proofErr w:type="spellStart"/>
      <w:r w:rsidR="007752BA">
        <w:rPr>
          <w:rFonts w:ascii="Times New Roman" w:hAnsi="Times New Roman" w:cs="Times New Roman"/>
          <w:sz w:val="36"/>
          <w:szCs w:val="36"/>
        </w:rPr>
        <w:t>Savigny</w:t>
      </w:r>
      <w:proofErr w:type="spellEnd"/>
      <w:r w:rsidR="007752BA">
        <w:rPr>
          <w:rFonts w:ascii="Times New Roman" w:hAnsi="Times New Roman" w:cs="Times New Roman"/>
          <w:sz w:val="36"/>
          <w:szCs w:val="36"/>
        </w:rPr>
        <w:t xml:space="preserve"> sino alla cd </w:t>
      </w:r>
      <w:r w:rsidR="007752BA" w:rsidRPr="0099118E">
        <w:rPr>
          <w:rFonts w:ascii="Times New Roman" w:hAnsi="Times New Roman" w:cs="Times New Roman"/>
          <w:b/>
          <w:bCs/>
          <w:sz w:val="36"/>
          <w:szCs w:val="36"/>
        </w:rPr>
        <w:t>neutralità dello schema societario</w:t>
      </w:r>
      <w:r w:rsidR="00610236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6"/>
      </w:r>
      <w:r w:rsidR="007752BA">
        <w:rPr>
          <w:rFonts w:ascii="Times New Roman" w:hAnsi="Times New Roman" w:cs="Times New Roman"/>
          <w:sz w:val="36"/>
          <w:szCs w:val="36"/>
        </w:rPr>
        <w:t xml:space="preserve"> </w:t>
      </w:r>
      <w:r w:rsidR="00FC512D">
        <w:rPr>
          <w:rFonts w:ascii="Times New Roman" w:hAnsi="Times New Roman" w:cs="Times New Roman"/>
          <w:sz w:val="36"/>
          <w:szCs w:val="36"/>
        </w:rPr>
        <w:t xml:space="preserve"> si può senz’altro affermare che i due indici principali dell’Ente del Terzo Settore sono: </w:t>
      </w:r>
      <w:r w:rsidR="002632B0">
        <w:rPr>
          <w:rFonts w:ascii="Times New Roman" w:hAnsi="Times New Roman" w:cs="Times New Roman"/>
          <w:sz w:val="36"/>
          <w:szCs w:val="36"/>
        </w:rPr>
        <w:t>l’autonomia dalle amministrazioni pubbliche e il divieto di distribuzione</w:t>
      </w:r>
      <w:r w:rsidR="00C973C4">
        <w:rPr>
          <w:rFonts w:ascii="Times New Roman" w:hAnsi="Times New Roman" w:cs="Times New Roman"/>
          <w:sz w:val="36"/>
          <w:szCs w:val="36"/>
        </w:rPr>
        <w:t xml:space="preserve"> sia diretta che indiretta degli utili (</w:t>
      </w:r>
      <w:r w:rsidR="00C973C4" w:rsidRPr="00C973C4">
        <w:rPr>
          <w:rFonts w:ascii="Times New Roman" w:hAnsi="Times New Roman" w:cs="Times New Roman"/>
          <w:i/>
          <w:iCs/>
          <w:sz w:val="36"/>
          <w:szCs w:val="36"/>
        </w:rPr>
        <w:t xml:space="preserve">non </w:t>
      </w:r>
      <w:proofErr w:type="spellStart"/>
      <w:r w:rsidR="00C973C4" w:rsidRPr="00C973C4">
        <w:rPr>
          <w:rFonts w:ascii="Times New Roman" w:hAnsi="Times New Roman" w:cs="Times New Roman"/>
          <w:i/>
          <w:iCs/>
          <w:sz w:val="36"/>
          <w:szCs w:val="36"/>
        </w:rPr>
        <w:t>distribution</w:t>
      </w:r>
      <w:proofErr w:type="spellEnd"/>
      <w:r w:rsidR="00C973C4" w:rsidRPr="00C973C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C973C4" w:rsidRPr="00C973C4">
        <w:rPr>
          <w:rFonts w:ascii="Times New Roman" w:hAnsi="Times New Roman" w:cs="Times New Roman"/>
          <w:i/>
          <w:iCs/>
          <w:sz w:val="36"/>
          <w:szCs w:val="36"/>
        </w:rPr>
        <w:t>constraint</w:t>
      </w:r>
      <w:proofErr w:type="spellEnd"/>
      <w:r w:rsidR="00C973C4" w:rsidRPr="00C973C4">
        <w:rPr>
          <w:rFonts w:ascii="Times New Roman" w:hAnsi="Times New Roman" w:cs="Times New Roman"/>
          <w:i/>
          <w:iCs/>
          <w:sz w:val="36"/>
          <w:szCs w:val="36"/>
        </w:rPr>
        <w:t>)</w:t>
      </w:r>
      <w:r w:rsidR="00BD75C0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  <w:r w:rsidR="00BD75C0" w:rsidRPr="00BD75C0">
        <w:rPr>
          <w:rFonts w:ascii="Times New Roman" w:hAnsi="Times New Roman" w:cs="Times New Roman"/>
          <w:sz w:val="36"/>
          <w:szCs w:val="36"/>
        </w:rPr>
        <w:t>Si è</w:t>
      </w:r>
      <w:r w:rsidR="00BD75C0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BD75C0">
        <w:rPr>
          <w:rFonts w:ascii="Times New Roman" w:hAnsi="Times New Roman" w:cs="Times New Roman"/>
          <w:sz w:val="36"/>
          <w:szCs w:val="36"/>
        </w:rPr>
        <w:t xml:space="preserve">precisato che </w:t>
      </w:r>
      <w:r w:rsidR="00BC42FA">
        <w:rPr>
          <w:rFonts w:ascii="Times New Roman" w:hAnsi="Times New Roman" w:cs="Times New Roman"/>
          <w:sz w:val="36"/>
          <w:szCs w:val="36"/>
        </w:rPr>
        <w:t xml:space="preserve">l’espressione </w:t>
      </w:r>
      <w:r w:rsidR="00BC42FA" w:rsidRPr="001352B1">
        <w:rPr>
          <w:rFonts w:ascii="Times New Roman" w:hAnsi="Times New Roman" w:cs="Times New Roman"/>
          <w:i/>
          <w:iCs/>
          <w:sz w:val="36"/>
          <w:szCs w:val="36"/>
        </w:rPr>
        <w:t>non profit</w:t>
      </w:r>
      <w:r w:rsidR="00BC42FA">
        <w:rPr>
          <w:rFonts w:ascii="Times New Roman" w:hAnsi="Times New Roman" w:cs="Times New Roman"/>
          <w:sz w:val="36"/>
          <w:szCs w:val="36"/>
        </w:rPr>
        <w:t xml:space="preserve"> dovrebbe essere letta come </w:t>
      </w:r>
      <w:r w:rsidR="00BC42FA" w:rsidRPr="001352B1">
        <w:rPr>
          <w:rFonts w:ascii="Times New Roman" w:hAnsi="Times New Roman" w:cs="Times New Roman"/>
          <w:i/>
          <w:iCs/>
          <w:sz w:val="36"/>
          <w:szCs w:val="36"/>
        </w:rPr>
        <w:t>non for profit</w:t>
      </w:r>
      <w:r w:rsidR="00BC42FA">
        <w:rPr>
          <w:rFonts w:ascii="Times New Roman" w:hAnsi="Times New Roman" w:cs="Times New Roman"/>
          <w:sz w:val="36"/>
          <w:szCs w:val="36"/>
        </w:rPr>
        <w:t>, legato al concetto di scopo di lucro soggettivo e oggettivo, mutualità interna o esterna</w:t>
      </w:r>
      <w:r w:rsidR="006A35ED">
        <w:rPr>
          <w:rFonts w:ascii="Times New Roman" w:hAnsi="Times New Roman" w:cs="Times New Roman"/>
          <w:sz w:val="36"/>
          <w:szCs w:val="36"/>
        </w:rPr>
        <w:t xml:space="preserve"> legata all’esperienza nord-americana delle </w:t>
      </w:r>
      <w:proofErr w:type="spellStart"/>
      <w:r w:rsidR="006A35ED" w:rsidRPr="006A35ED">
        <w:rPr>
          <w:rFonts w:ascii="Times New Roman" w:hAnsi="Times New Roman" w:cs="Times New Roman"/>
          <w:i/>
          <w:iCs/>
          <w:sz w:val="36"/>
          <w:szCs w:val="36"/>
        </w:rPr>
        <w:t>charitable</w:t>
      </w:r>
      <w:proofErr w:type="spellEnd"/>
      <w:r w:rsidR="006A35ED" w:rsidRPr="006A35ED">
        <w:rPr>
          <w:rFonts w:ascii="Times New Roman" w:hAnsi="Times New Roman" w:cs="Times New Roman"/>
          <w:i/>
          <w:iCs/>
          <w:sz w:val="36"/>
          <w:szCs w:val="36"/>
        </w:rPr>
        <w:t xml:space="preserve"> corporation</w:t>
      </w:r>
      <w:r w:rsidR="006A35ED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022623BB" w14:textId="542597F6" w:rsidR="00F04327" w:rsidRDefault="00F04327" w:rsidP="006102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Gli enti esclusi : le imprese sociali</w:t>
      </w:r>
      <w:r w:rsidR="00552DF8">
        <w:rPr>
          <w:rFonts w:ascii="Times New Roman" w:hAnsi="Times New Roman" w:cs="Times New Roman"/>
          <w:sz w:val="36"/>
          <w:szCs w:val="36"/>
        </w:rPr>
        <w:t>, incluse le cooperative sociali e le amministrazioni pubbliche. Quest’ultima esclu</w:t>
      </w:r>
      <w:r w:rsidR="00597406">
        <w:rPr>
          <w:rFonts w:ascii="Times New Roman" w:hAnsi="Times New Roman" w:cs="Times New Roman"/>
          <w:sz w:val="36"/>
          <w:szCs w:val="36"/>
        </w:rPr>
        <w:t>sione è sicuramente apprezzabile, posto che</w:t>
      </w:r>
      <w:r w:rsidR="00C644EC">
        <w:rPr>
          <w:rFonts w:ascii="Times New Roman" w:hAnsi="Times New Roman" w:cs="Times New Roman"/>
          <w:sz w:val="36"/>
          <w:szCs w:val="36"/>
        </w:rPr>
        <w:t xml:space="preserve"> queste, in forza dell’art.97 della Costituzione, devono assicurare “il buon andament</w:t>
      </w:r>
      <w:r w:rsidR="00AE2524">
        <w:rPr>
          <w:rFonts w:ascii="Times New Roman" w:hAnsi="Times New Roman" w:cs="Times New Roman"/>
          <w:sz w:val="36"/>
          <w:szCs w:val="36"/>
        </w:rPr>
        <w:t>o e l’imparzialità dell’amministrazion</w:t>
      </w:r>
      <w:r w:rsidR="00610236">
        <w:rPr>
          <w:rFonts w:ascii="Times New Roman" w:hAnsi="Times New Roman" w:cs="Times New Roman"/>
          <w:sz w:val="36"/>
          <w:szCs w:val="36"/>
        </w:rPr>
        <w:t>e”, sicché</w:t>
      </w:r>
      <w:r w:rsidR="00AE2524">
        <w:rPr>
          <w:rFonts w:ascii="Times New Roman" w:hAnsi="Times New Roman" w:cs="Times New Roman"/>
          <w:sz w:val="36"/>
          <w:szCs w:val="36"/>
        </w:rPr>
        <w:t xml:space="preserve"> non pare opportuno che queste possano rendersi promotrici di azioni </w:t>
      </w:r>
      <w:r w:rsidR="0005594D">
        <w:rPr>
          <w:rFonts w:ascii="Times New Roman" w:hAnsi="Times New Roman" w:cs="Times New Roman"/>
          <w:sz w:val="36"/>
          <w:szCs w:val="36"/>
        </w:rPr>
        <w:t>collettive, che- per d</w:t>
      </w:r>
      <w:r w:rsidR="00610236">
        <w:rPr>
          <w:rFonts w:ascii="Times New Roman" w:hAnsi="Times New Roman" w:cs="Times New Roman"/>
          <w:sz w:val="36"/>
          <w:szCs w:val="36"/>
        </w:rPr>
        <w:t xml:space="preserve">efinizione- sono “di parte”. È </w:t>
      </w:r>
      <w:r w:rsidR="0005594D">
        <w:rPr>
          <w:rFonts w:ascii="Times New Roman" w:hAnsi="Times New Roman" w:cs="Times New Roman"/>
          <w:sz w:val="36"/>
          <w:szCs w:val="36"/>
        </w:rPr>
        <w:t>bene precisare</w:t>
      </w:r>
      <w:r w:rsidR="00C26641">
        <w:rPr>
          <w:rFonts w:ascii="Times New Roman" w:hAnsi="Times New Roman" w:cs="Times New Roman"/>
          <w:sz w:val="36"/>
          <w:szCs w:val="36"/>
        </w:rPr>
        <w:t xml:space="preserve"> che ovviamente la disposizione</w:t>
      </w:r>
      <w:r w:rsidR="00610236">
        <w:rPr>
          <w:rFonts w:ascii="Times New Roman" w:hAnsi="Times New Roman" w:cs="Times New Roman"/>
          <w:sz w:val="36"/>
          <w:szCs w:val="36"/>
        </w:rPr>
        <w:t xml:space="preserve"> regolamentare non può incidere</w:t>
      </w:r>
      <w:r w:rsidR="00213A1E">
        <w:rPr>
          <w:rFonts w:ascii="Times New Roman" w:hAnsi="Times New Roman" w:cs="Times New Roman"/>
          <w:sz w:val="36"/>
          <w:szCs w:val="36"/>
        </w:rPr>
        <w:t>:</w:t>
      </w:r>
    </w:p>
    <w:p w14:paraId="3CE44FE9" w14:textId="41439A73" w:rsidR="00213A1E" w:rsidRDefault="00213A1E" w:rsidP="00213A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Né sulla legittimazione prevista da speciali disposizioni di legge a tutela di beni collettivi, come ad esempio l’articolo 311 del Codice dell’Ambient</w:t>
      </w:r>
      <w:r w:rsidR="00575914">
        <w:rPr>
          <w:rFonts w:ascii="Times New Roman" w:hAnsi="Times New Roman" w:cs="Times New Roman"/>
          <w:sz w:val="36"/>
          <w:szCs w:val="36"/>
        </w:rPr>
        <w:t>e Dlgs 3 aprile 2006 n.152, ai sensi del quale il Ministero dell’Ambiente e della tutela del territorio</w:t>
      </w:r>
      <w:r w:rsidR="00EA445E">
        <w:rPr>
          <w:rFonts w:ascii="Times New Roman" w:hAnsi="Times New Roman" w:cs="Times New Roman"/>
          <w:sz w:val="36"/>
          <w:szCs w:val="36"/>
        </w:rPr>
        <w:t xml:space="preserve"> agisce, anche esercitando l’azione civile in sede penale, per il risarcimento del danno ambientale in forma specifica e,</w:t>
      </w:r>
      <w:r w:rsidR="00610236">
        <w:rPr>
          <w:rFonts w:ascii="Times New Roman" w:hAnsi="Times New Roman" w:cs="Times New Roman"/>
          <w:sz w:val="36"/>
          <w:szCs w:val="36"/>
        </w:rPr>
        <w:t xml:space="preserve"> </w:t>
      </w:r>
      <w:r w:rsidR="00EA445E">
        <w:rPr>
          <w:rFonts w:ascii="Times New Roman" w:hAnsi="Times New Roman" w:cs="Times New Roman"/>
          <w:sz w:val="36"/>
          <w:szCs w:val="36"/>
        </w:rPr>
        <w:t>se necessario, per equivalente patrimoniale..&gt;</w:t>
      </w:r>
      <w:r w:rsidR="00E308C5">
        <w:rPr>
          <w:rFonts w:ascii="Times New Roman" w:hAnsi="Times New Roman" w:cs="Times New Roman"/>
          <w:sz w:val="36"/>
          <w:szCs w:val="36"/>
        </w:rPr>
        <w:t>:</w:t>
      </w:r>
    </w:p>
    <w:p w14:paraId="0D9A8F68" w14:textId="06C29321" w:rsidR="00E308C5" w:rsidRDefault="00E308C5" w:rsidP="00213A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Né sulla legittimazione a promuovere- in via sia individuale </w:t>
      </w:r>
      <w:r w:rsidR="007A1497">
        <w:rPr>
          <w:rFonts w:ascii="Times New Roman" w:hAnsi="Times New Roman" w:cs="Times New Roman"/>
          <w:sz w:val="36"/>
          <w:szCs w:val="36"/>
        </w:rPr>
        <w:t xml:space="preserve"> </w:t>
      </w:r>
      <w:r w:rsidR="009F6DAF">
        <w:rPr>
          <w:rFonts w:ascii="Times New Roman" w:hAnsi="Times New Roman" w:cs="Times New Roman"/>
          <w:sz w:val="36"/>
          <w:szCs w:val="36"/>
        </w:rPr>
        <w:t>diritti o interessi di cui i singoli enti pubblici ( specialmente territoriali)</w:t>
      </w:r>
      <w:r w:rsidR="003E5D1D">
        <w:rPr>
          <w:rFonts w:ascii="Times New Roman" w:hAnsi="Times New Roman" w:cs="Times New Roman"/>
          <w:sz w:val="36"/>
          <w:szCs w:val="36"/>
        </w:rPr>
        <w:t xml:space="preserve"> siano direttamente titolari: si pensi </w:t>
      </w:r>
      <w:r w:rsidR="00AE0880">
        <w:rPr>
          <w:rFonts w:ascii="Times New Roman" w:hAnsi="Times New Roman" w:cs="Times New Roman"/>
          <w:sz w:val="36"/>
          <w:szCs w:val="36"/>
        </w:rPr>
        <w:t>,ad esempio, all’azione inibitoria nei confronti di un’impresa</w:t>
      </w:r>
      <w:r w:rsidR="005663D5">
        <w:rPr>
          <w:rFonts w:ascii="Times New Roman" w:hAnsi="Times New Roman" w:cs="Times New Roman"/>
          <w:sz w:val="36"/>
          <w:szCs w:val="36"/>
        </w:rPr>
        <w:t xml:space="preserve"> che pregiudichi beni a qualsiasi titolo di proprietà di uno o più Comuni o di una o più Regioni.</w:t>
      </w:r>
    </w:p>
    <w:p w14:paraId="267C1F9F" w14:textId="384BB5B3" w:rsidR="0086197E" w:rsidRDefault="0086197E" w:rsidP="0086197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 quanto riguarda la tematica ambientale</w:t>
      </w:r>
      <w:r w:rsidR="00033878">
        <w:rPr>
          <w:rFonts w:ascii="Times New Roman" w:hAnsi="Times New Roman" w:cs="Times New Roman"/>
          <w:sz w:val="36"/>
          <w:szCs w:val="36"/>
        </w:rPr>
        <w:t xml:space="preserve">, è da osservare che le norme del cpc in tema di azioni collettive sembrano destinate, dopo 16 anni dall’abrogazione operata dall’art.318, comma </w:t>
      </w:r>
      <w:r w:rsidR="00135667">
        <w:rPr>
          <w:rFonts w:ascii="Times New Roman" w:hAnsi="Times New Roman" w:cs="Times New Roman"/>
          <w:sz w:val="36"/>
          <w:szCs w:val="36"/>
        </w:rPr>
        <w:t>2, del Codice dell’Ambiente del 2006, a “ripristinare” in via di fatto la previsione di cui all’art. 9, comma 3, del Tuel</w:t>
      </w:r>
      <w:r w:rsidR="009D61DB">
        <w:rPr>
          <w:rFonts w:ascii="Times New Roman" w:hAnsi="Times New Roman" w:cs="Times New Roman"/>
          <w:sz w:val="36"/>
          <w:szCs w:val="36"/>
        </w:rPr>
        <w:t xml:space="preserve"> ( </w:t>
      </w:r>
      <w:proofErr w:type="spellStart"/>
      <w:r w:rsidR="009D61DB">
        <w:rPr>
          <w:rFonts w:ascii="Times New Roman" w:hAnsi="Times New Roman" w:cs="Times New Roman"/>
          <w:sz w:val="36"/>
          <w:szCs w:val="36"/>
        </w:rPr>
        <w:t>dlgs</w:t>
      </w:r>
      <w:proofErr w:type="spellEnd"/>
      <w:r w:rsidR="009D61DB">
        <w:rPr>
          <w:rFonts w:ascii="Times New Roman" w:hAnsi="Times New Roman" w:cs="Times New Roman"/>
          <w:sz w:val="36"/>
          <w:szCs w:val="36"/>
        </w:rPr>
        <w:t xml:space="preserve"> 18 agosto 2000 n.267) che prevedeva che &lt; Le associazioni di protezione ambientale di cui all’art. 13 della legge</w:t>
      </w:r>
      <w:r w:rsidR="00A31814">
        <w:rPr>
          <w:rFonts w:ascii="Times New Roman" w:hAnsi="Times New Roman" w:cs="Times New Roman"/>
          <w:sz w:val="36"/>
          <w:szCs w:val="36"/>
        </w:rPr>
        <w:t xml:space="preserve"> 8 luglio 1986 n. 349, possono proporre le azioni risarcitorie di competenza del giudice ordinario che spettino al comune e alla provincia, conseguenti a danno ambientale&gt;</w:t>
      </w:r>
      <w:r w:rsidR="00FE1E90">
        <w:rPr>
          <w:rFonts w:ascii="Times New Roman" w:hAnsi="Times New Roman" w:cs="Times New Roman"/>
          <w:sz w:val="36"/>
          <w:szCs w:val="36"/>
        </w:rPr>
        <w:t xml:space="preserve"> : tra gli enti che potranno chiedere l’iscrizione all’elenco di cui al nuovo Regolamento,, infatti, sembrano doversi sicuramente ammettere le associazioni che abbiano ad oggetto la tutela dell’ambiente. </w:t>
      </w:r>
    </w:p>
    <w:p w14:paraId="4B867762" w14:textId="644FE96E" w:rsidR="000B3BFA" w:rsidRDefault="000B3BFA" w:rsidP="0086197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Oltre agli enti pubblici, sempre in forza dell’articolo 4 del Codice del Terzo settore, sono esclusi: le formazioni e le associazioni politiche,</w:t>
      </w:r>
      <w:r w:rsidR="00ED18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i sindacati, le associazioni professionali e di rappresentanza di categorie economiche, le associazioni di datori di lavoro, </w:t>
      </w:r>
      <w:r w:rsidR="00CB09A9">
        <w:rPr>
          <w:rFonts w:ascii="Times New Roman" w:hAnsi="Times New Roman" w:cs="Times New Roman"/>
          <w:sz w:val="36"/>
          <w:szCs w:val="36"/>
        </w:rPr>
        <w:t xml:space="preserve">gli enti sottoposti a direzione e coordinamento </w:t>
      </w:r>
      <w:r w:rsidR="00CB09A9">
        <w:rPr>
          <w:rFonts w:ascii="Times New Roman" w:hAnsi="Times New Roman" w:cs="Times New Roman"/>
          <w:sz w:val="36"/>
          <w:szCs w:val="36"/>
        </w:rPr>
        <w:lastRenderedPageBreak/>
        <w:t>o controllati dai suddetti enti, ad esclusione dei soggetti operanti nel settore della protezione civile</w:t>
      </w:r>
      <w:r w:rsidR="00377AD0">
        <w:rPr>
          <w:rFonts w:ascii="Times New Roman" w:hAnsi="Times New Roman" w:cs="Times New Roman"/>
          <w:sz w:val="36"/>
          <w:szCs w:val="36"/>
        </w:rPr>
        <w:t>.</w:t>
      </w:r>
    </w:p>
    <w:p w14:paraId="27CF99C8" w14:textId="4F9D68E2" w:rsidR="00377AD0" w:rsidRDefault="00377AD0" w:rsidP="0086197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L’esclusione di tali enti </w:t>
      </w:r>
      <w:r w:rsidR="00DB7D50">
        <w:rPr>
          <w:rFonts w:ascii="Times New Roman" w:hAnsi="Times New Roman" w:cs="Times New Roman"/>
          <w:sz w:val="36"/>
          <w:szCs w:val="36"/>
        </w:rPr>
        <w:t>si giustifica ,perché il legislatore ha voluto evitare che le azioni collettive possano essere utilizzati come strumenti di promozione dell’immagine e della notorietà</w:t>
      </w:r>
      <w:r w:rsidR="00CB63FF">
        <w:rPr>
          <w:rFonts w:ascii="Times New Roman" w:hAnsi="Times New Roman" w:cs="Times New Roman"/>
          <w:sz w:val="36"/>
          <w:szCs w:val="36"/>
        </w:rPr>
        <w:t>. Ma non è da escludere che se qualcuno di tali enti chiedesse l’iscrizione nell’elenco, a fronte del provvedimento negativ</w:t>
      </w:r>
      <w:r w:rsidR="008D61E8">
        <w:rPr>
          <w:rFonts w:ascii="Times New Roman" w:hAnsi="Times New Roman" w:cs="Times New Roman"/>
          <w:sz w:val="36"/>
          <w:szCs w:val="36"/>
        </w:rPr>
        <w:t>o del Ministero della Giustizia, potrebbe chiedere tutela al giudice amministrativ</w:t>
      </w:r>
      <w:r w:rsidR="00ED416B">
        <w:rPr>
          <w:rFonts w:ascii="Times New Roman" w:hAnsi="Times New Roman" w:cs="Times New Roman"/>
          <w:sz w:val="36"/>
          <w:szCs w:val="36"/>
        </w:rPr>
        <w:t xml:space="preserve">o, chiedendo che dichiari l’illegittimità in </w:t>
      </w:r>
      <w:r w:rsidR="00ED416B" w:rsidRPr="00ED416B">
        <w:rPr>
          <w:rFonts w:ascii="Times New Roman" w:hAnsi="Times New Roman" w:cs="Times New Roman"/>
          <w:i/>
          <w:iCs/>
          <w:sz w:val="36"/>
          <w:szCs w:val="36"/>
        </w:rPr>
        <w:t>parte qua</w:t>
      </w:r>
      <w:r w:rsidR="00ED416B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ED416B" w:rsidRPr="00ED416B">
        <w:rPr>
          <w:rFonts w:ascii="Times New Roman" w:hAnsi="Times New Roman" w:cs="Times New Roman"/>
          <w:sz w:val="36"/>
          <w:szCs w:val="36"/>
        </w:rPr>
        <w:t>del regolamento.</w:t>
      </w:r>
    </w:p>
    <w:p w14:paraId="64CD89FB" w14:textId="4B4CBF3B" w:rsidR="0058444F" w:rsidRDefault="0058444F" w:rsidP="0086197E">
      <w:pPr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8444F">
        <w:rPr>
          <w:rFonts w:ascii="Times New Roman" w:hAnsi="Times New Roman" w:cs="Times New Roman"/>
          <w:b/>
          <w:bCs/>
          <w:sz w:val="36"/>
          <w:szCs w:val="36"/>
        </w:rPr>
        <w:t>Ulteriori requisiti</w:t>
      </w:r>
    </w:p>
    <w:p w14:paraId="5A511300" w14:textId="1E222181" w:rsidR="0058444F" w:rsidRDefault="0058444F" w:rsidP="0086197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58444F">
        <w:rPr>
          <w:rFonts w:ascii="Times New Roman" w:hAnsi="Times New Roman" w:cs="Times New Roman"/>
          <w:sz w:val="36"/>
          <w:szCs w:val="36"/>
        </w:rPr>
        <w:t>L’essere enti del Terzo settore</w:t>
      </w:r>
      <w:r>
        <w:rPr>
          <w:rFonts w:ascii="Times New Roman" w:hAnsi="Times New Roman" w:cs="Times New Roman"/>
          <w:sz w:val="36"/>
          <w:szCs w:val="36"/>
        </w:rPr>
        <w:t xml:space="preserve"> è condizione necessaria, ma non sufficiente per l’iscrizione nell’elenco previsto dal nuovo DM</w:t>
      </w:r>
      <w:r w:rsidR="00B36218">
        <w:rPr>
          <w:rFonts w:ascii="Times New Roman" w:hAnsi="Times New Roman" w:cs="Times New Roman"/>
          <w:sz w:val="36"/>
          <w:szCs w:val="36"/>
        </w:rPr>
        <w:t>.</w:t>
      </w:r>
    </w:p>
    <w:p w14:paraId="1E6C063E" w14:textId="6D9AE580" w:rsidR="00B36218" w:rsidRDefault="00B36218" w:rsidP="0086197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L’art.3 di questo decreto,</w:t>
      </w:r>
      <w:r w:rsidR="00CD5A6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infatti, impone altre condizioni alle “organizzazioni e associazioni”</w:t>
      </w:r>
      <w:r w:rsidR="002525BF">
        <w:rPr>
          <w:rFonts w:ascii="Times New Roman" w:hAnsi="Times New Roman" w:cs="Times New Roman"/>
          <w:sz w:val="36"/>
          <w:szCs w:val="36"/>
        </w:rPr>
        <w:t xml:space="preserve"> richiedenti ed analiticamente :</w:t>
      </w:r>
    </w:p>
    <w:p w14:paraId="37ABE7CE" w14:textId="68FABF98" w:rsidR="002525BF" w:rsidRPr="00B7166F" w:rsidRDefault="00CD5A6D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CD5A6D">
        <w:rPr>
          <w:rFonts w:ascii="Times New Roman" w:hAnsi="Times New Roman" w:cs="Times New Roman"/>
          <w:b/>
          <w:bCs/>
          <w:sz w:val="36"/>
          <w:szCs w:val="36"/>
        </w:rPr>
        <w:t>Essere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state costituite almeno due anni prima della presentazione della domanda di iscrizione </w:t>
      </w:r>
      <w:r w:rsidR="00177540">
        <w:rPr>
          <w:rFonts w:ascii="Times New Roman" w:hAnsi="Times New Roman" w:cs="Times New Roman"/>
          <w:b/>
          <w:bCs/>
          <w:sz w:val="36"/>
          <w:szCs w:val="36"/>
        </w:rPr>
        <w:t>all’elenco&gt; :</w:t>
      </w:r>
      <w:r w:rsidR="006F2E7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F2E75" w:rsidRPr="006F2E75">
        <w:rPr>
          <w:rFonts w:ascii="Times New Roman" w:hAnsi="Times New Roman" w:cs="Times New Roman"/>
          <w:sz w:val="36"/>
          <w:szCs w:val="36"/>
        </w:rPr>
        <w:t>la previsione</w:t>
      </w:r>
      <w:r w:rsidR="006F2E75">
        <w:rPr>
          <w:rFonts w:ascii="Times New Roman" w:hAnsi="Times New Roman" w:cs="Times New Roman"/>
          <w:sz w:val="36"/>
          <w:szCs w:val="36"/>
        </w:rPr>
        <w:t xml:space="preserve"> della necessità che sia trascorso almeno un biennio dalla costituzione dell’ente, impedisce che questo sia istituito </w:t>
      </w:r>
      <w:r w:rsidR="006F2E75" w:rsidRPr="006F2E75">
        <w:rPr>
          <w:rFonts w:ascii="Times New Roman" w:hAnsi="Times New Roman" w:cs="Times New Roman"/>
          <w:i/>
          <w:iCs/>
          <w:sz w:val="36"/>
          <w:szCs w:val="36"/>
        </w:rPr>
        <w:t xml:space="preserve">ad hoc </w:t>
      </w:r>
      <w:r w:rsidR="006F2E75">
        <w:rPr>
          <w:rFonts w:ascii="Times New Roman" w:hAnsi="Times New Roman" w:cs="Times New Roman"/>
          <w:sz w:val="36"/>
          <w:szCs w:val="36"/>
        </w:rPr>
        <w:t>al solo fine di promuovere un’azione collettiva</w:t>
      </w:r>
      <w:r w:rsidR="00B7166F">
        <w:rPr>
          <w:rFonts w:ascii="Times New Roman" w:hAnsi="Times New Roman" w:cs="Times New Roman"/>
          <w:sz w:val="36"/>
          <w:szCs w:val="36"/>
        </w:rPr>
        <w:t>;</w:t>
      </w:r>
    </w:p>
    <w:p w14:paraId="76952C11" w14:textId="4D332962" w:rsidR="00B7166F" w:rsidRPr="00035B26" w:rsidRDefault="00B7166F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Avere sede nella Repubblica italiana o in uno degli Stati membri dell’Unione Europea:</w:t>
      </w:r>
      <w:r>
        <w:rPr>
          <w:rFonts w:ascii="Times New Roman" w:hAnsi="Times New Roman" w:cs="Times New Roman"/>
          <w:sz w:val="36"/>
          <w:szCs w:val="36"/>
        </w:rPr>
        <w:t xml:space="preserve"> l’esclusione delle organizzazioni che abbiano sede al di fuori dell’Unione europea</w:t>
      </w:r>
      <w:r w:rsidR="00963F58">
        <w:rPr>
          <w:rFonts w:ascii="Times New Roman" w:hAnsi="Times New Roman" w:cs="Times New Roman"/>
          <w:sz w:val="36"/>
          <w:szCs w:val="36"/>
        </w:rPr>
        <w:t xml:space="preserve"> non sembra né condivisibile né legittima, ove si consideri che si pone in contrasto </w:t>
      </w:r>
      <w:r w:rsidR="005F77CE">
        <w:rPr>
          <w:rFonts w:ascii="Times New Roman" w:hAnsi="Times New Roman" w:cs="Times New Roman"/>
          <w:sz w:val="36"/>
          <w:szCs w:val="36"/>
        </w:rPr>
        <w:t>con la generale garanzia di agire in giudizio assicurata dall’articolo 24, comma 1, della Costituzione</w:t>
      </w:r>
      <w:r w:rsidR="007A1497">
        <w:rPr>
          <w:rFonts w:ascii="Times New Roman" w:hAnsi="Times New Roman" w:cs="Times New Roman"/>
          <w:sz w:val="36"/>
          <w:szCs w:val="36"/>
        </w:rPr>
        <w:t>: è ben vero che le azioni collettive sono “alternative” e “facoltative”</w:t>
      </w:r>
      <w:r w:rsidR="00035B26">
        <w:rPr>
          <w:rFonts w:ascii="Times New Roman" w:hAnsi="Times New Roman" w:cs="Times New Roman"/>
          <w:sz w:val="36"/>
          <w:szCs w:val="36"/>
        </w:rPr>
        <w:t xml:space="preserve"> rispetto alle forme ordinarie di tutela giurisdizionale, ma la disposizione costituzionale non sembra tollerare alcuna limitazione all’accesso alla giustizia</w:t>
      </w:r>
      <w:r w:rsidR="00134D6C">
        <w:rPr>
          <w:rFonts w:ascii="Times New Roman" w:hAnsi="Times New Roman" w:cs="Times New Roman"/>
          <w:sz w:val="36"/>
          <w:szCs w:val="36"/>
        </w:rPr>
        <w:t>;</w:t>
      </w:r>
    </w:p>
    <w:p w14:paraId="79FFC7A5" w14:textId="7487C0BF" w:rsidR="00035B26" w:rsidRPr="002347BB" w:rsidRDefault="00B73A96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B73A96">
        <w:rPr>
          <w:rFonts w:ascii="Times New Roman" w:hAnsi="Times New Roman" w:cs="Times New Roman"/>
          <w:b/>
          <w:bCs/>
          <w:sz w:val="36"/>
          <w:szCs w:val="36"/>
        </w:rPr>
        <w:lastRenderedPageBreak/>
        <w:t>Avere come obiettivo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statutario, anche non esclusivo, la tutela di diritti individuali omogenei, senza scopo di lucro.</w:t>
      </w:r>
      <w:r w:rsidR="00BE2E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E2E8F" w:rsidRPr="00BE2E8F">
        <w:rPr>
          <w:rFonts w:ascii="Times New Roman" w:hAnsi="Times New Roman" w:cs="Times New Roman"/>
          <w:sz w:val="36"/>
          <w:szCs w:val="36"/>
        </w:rPr>
        <w:t>La previsione</w:t>
      </w:r>
      <w:r w:rsidR="00BE2E8F">
        <w:rPr>
          <w:rFonts w:ascii="Times New Roman" w:hAnsi="Times New Roman" w:cs="Times New Roman"/>
          <w:sz w:val="36"/>
          <w:szCs w:val="36"/>
        </w:rPr>
        <w:t xml:space="preserve"> dell’assenza dello scopo di lucro è in realtà superflua, posto che la stessa è già stabilita dall’art.4 del Codice del Terzo settore</w:t>
      </w:r>
      <w:r w:rsidR="002F17F5">
        <w:rPr>
          <w:rFonts w:ascii="Times New Roman" w:hAnsi="Times New Roman" w:cs="Times New Roman"/>
          <w:sz w:val="36"/>
          <w:szCs w:val="36"/>
        </w:rPr>
        <w:t>, che rappresenta il presupposto essenziale della disciplina.</w:t>
      </w:r>
      <w:r w:rsidR="002347BB">
        <w:rPr>
          <w:rFonts w:ascii="Times New Roman" w:hAnsi="Times New Roman" w:cs="Times New Roman"/>
          <w:sz w:val="36"/>
          <w:szCs w:val="36"/>
        </w:rPr>
        <w:t xml:space="preserve"> L’assenza di scopo di lucro deve ritenersi necessaria anche per l’esercizio delle azioni inibitorie collettive.</w:t>
      </w:r>
    </w:p>
    <w:p w14:paraId="16FA67D5" w14:textId="7E6B0935" w:rsidR="002347BB" w:rsidRPr="004170A7" w:rsidRDefault="004461FA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Avere un </w:t>
      </w:r>
      <w:r w:rsidR="00AF0108">
        <w:rPr>
          <w:rFonts w:ascii="Times New Roman" w:hAnsi="Times New Roman" w:cs="Times New Roman"/>
          <w:b/>
          <w:bCs/>
          <w:sz w:val="36"/>
          <w:szCs w:val="36"/>
        </w:rPr>
        <w:t>ordinamento</w:t>
      </w:r>
      <w:r w:rsidR="007F6D74">
        <w:rPr>
          <w:rFonts w:ascii="Times New Roman" w:hAnsi="Times New Roman" w:cs="Times New Roman"/>
          <w:b/>
          <w:bCs/>
          <w:sz w:val="36"/>
          <w:szCs w:val="36"/>
        </w:rPr>
        <w:t xml:space="preserve"> a base </w:t>
      </w:r>
      <w:r w:rsidR="00AF0108">
        <w:rPr>
          <w:rFonts w:ascii="Times New Roman" w:hAnsi="Times New Roman" w:cs="Times New Roman"/>
          <w:b/>
          <w:bCs/>
          <w:sz w:val="36"/>
          <w:szCs w:val="36"/>
        </w:rPr>
        <w:t>democratic</w:t>
      </w:r>
      <w:r w:rsidR="006070AA">
        <w:rPr>
          <w:rFonts w:ascii="Times New Roman" w:hAnsi="Times New Roman" w:cs="Times New Roman"/>
          <w:b/>
          <w:bCs/>
          <w:sz w:val="36"/>
          <w:szCs w:val="36"/>
        </w:rPr>
        <w:t xml:space="preserve">a con convocazione degli iscritti con cadenza almeno </w:t>
      </w:r>
      <w:r w:rsidR="00160CF0">
        <w:rPr>
          <w:rFonts w:ascii="Times New Roman" w:hAnsi="Times New Roman" w:cs="Times New Roman"/>
          <w:b/>
          <w:bCs/>
          <w:sz w:val="36"/>
          <w:szCs w:val="36"/>
        </w:rPr>
        <w:t>annuale</w:t>
      </w:r>
      <w:r w:rsidR="004867AF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4867AF">
        <w:rPr>
          <w:rFonts w:ascii="Times New Roman" w:hAnsi="Times New Roman" w:cs="Times New Roman"/>
          <w:sz w:val="36"/>
          <w:szCs w:val="36"/>
        </w:rPr>
        <w:t xml:space="preserve"> La </w:t>
      </w:r>
      <w:r w:rsidR="007B0E1B">
        <w:rPr>
          <w:rFonts w:ascii="Times New Roman" w:hAnsi="Times New Roman" w:cs="Times New Roman"/>
          <w:sz w:val="36"/>
          <w:szCs w:val="36"/>
        </w:rPr>
        <w:t>prima parte di questa previsione è sostanzialmente superflua, atteso che già imposta dal Codice del Terzo Settore</w:t>
      </w:r>
      <w:r w:rsidR="00B52D27">
        <w:rPr>
          <w:rFonts w:ascii="Times New Roman" w:hAnsi="Times New Roman" w:cs="Times New Roman"/>
          <w:sz w:val="36"/>
          <w:szCs w:val="36"/>
        </w:rPr>
        <w:t xml:space="preserve"> ( in particolare l’articolo 25 che impone &lt; il rispetto dei principi di democraticità, pari opportunità</w:t>
      </w:r>
      <w:r w:rsidR="00741DD4">
        <w:rPr>
          <w:rFonts w:ascii="Times New Roman" w:hAnsi="Times New Roman" w:cs="Times New Roman"/>
          <w:sz w:val="36"/>
          <w:szCs w:val="36"/>
        </w:rPr>
        <w:t xml:space="preserve"> ed eguaglianza di tutti gli associati e di elettività delle cariche sociali&gt;</w:t>
      </w:r>
      <w:r w:rsidR="000262FE">
        <w:rPr>
          <w:rFonts w:ascii="Times New Roman" w:hAnsi="Times New Roman" w:cs="Times New Roman"/>
          <w:sz w:val="36"/>
          <w:szCs w:val="36"/>
        </w:rPr>
        <w:t>). A margine di questa previsione pare opportuno precisare</w:t>
      </w:r>
      <w:r w:rsidR="00F36452">
        <w:rPr>
          <w:rFonts w:ascii="Times New Roman" w:hAnsi="Times New Roman" w:cs="Times New Roman"/>
          <w:sz w:val="36"/>
          <w:szCs w:val="36"/>
        </w:rPr>
        <w:t xml:space="preserve">, specie avendo riguardo a fondazioni ed agli enti religiosi che </w:t>
      </w:r>
      <w:r w:rsidR="00E904DE">
        <w:rPr>
          <w:rFonts w:ascii="Times New Roman" w:hAnsi="Times New Roman" w:cs="Times New Roman"/>
          <w:sz w:val="36"/>
          <w:szCs w:val="36"/>
        </w:rPr>
        <w:t>l’investitura “democratica” deve riguardare soltanto gli organi di indirizzo e di vigilanza</w:t>
      </w:r>
      <w:r w:rsidR="00A93D8A">
        <w:rPr>
          <w:rFonts w:ascii="Times New Roman" w:hAnsi="Times New Roman" w:cs="Times New Roman"/>
          <w:sz w:val="36"/>
          <w:szCs w:val="36"/>
        </w:rPr>
        <w:t xml:space="preserve"> e non anche i soggetti investiti della rappresentanza legale dell’ente. </w:t>
      </w:r>
      <w:r w:rsidR="00CE42A1">
        <w:rPr>
          <w:rFonts w:ascii="Times New Roman" w:hAnsi="Times New Roman" w:cs="Times New Roman"/>
          <w:sz w:val="36"/>
          <w:szCs w:val="36"/>
        </w:rPr>
        <w:t>Ha, invece, carattere autenticamente originale e precettivo la seconda parte</w:t>
      </w:r>
      <w:r w:rsidR="00925003">
        <w:rPr>
          <w:rFonts w:ascii="Times New Roman" w:hAnsi="Times New Roman" w:cs="Times New Roman"/>
          <w:sz w:val="36"/>
          <w:szCs w:val="36"/>
        </w:rPr>
        <w:t xml:space="preserve"> della disposizione che richiede che gli iscritti siano convocati almeno annualmente</w:t>
      </w:r>
      <w:r w:rsidR="00C91CE7">
        <w:rPr>
          <w:rFonts w:ascii="Times New Roman" w:hAnsi="Times New Roman" w:cs="Times New Roman"/>
          <w:sz w:val="36"/>
          <w:szCs w:val="36"/>
        </w:rPr>
        <w:t>: la previsione è chiaramente rivolta ad assicurare un’attiva e costante partecipazione.</w:t>
      </w:r>
      <w:r w:rsidR="00A82CA8">
        <w:rPr>
          <w:rFonts w:ascii="Times New Roman" w:hAnsi="Times New Roman" w:cs="Times New Roman"/>
          <w:sz w:val="36"/>
          <w:szCs w:val="36"/>
        </w:rPr>
        <w:t xml:space="preserve"> A questa medesima finalità è funzionale la definizione di cui alla lettera g) dell’articolo 1, secondo cui gli &lt; </w:t>
      </w:r>
      <w:r w:rsidR="00A82CA8" w:rsidRPr="00A82CA8">
        <w:rPr>
          <w:rFonts w:ascii="Times New Roman" w:hAnsi="Times New Roman" w:cs="Times New Roman"/>
          <w:b/>
          <w:bCs/>
          <w:sz w:val="36"/>
          <w:szCs w:val="36"/>
        </w:rPr>
        <w:t>iscritti</w:t>
      </w:r>
      <w:r w:rsidR="00E904DE">
        <w:rPr>
          <w:rFonts w:ascii="Times New Roman" w:hAnsi="Times New Roman" w:cs="Times New Roman"/>
          <w:sz w:val="36"/>
          <w:szCs w:val="36"/>
        </w:rPr>
        <w:t xml:space="preserve"> </w:t>
      </w:r>
      <w:r w:rsidR="00B52D27">
        <w:rPr>
          <w:rFonts w:ascii="Times New Roman" w:hAnsi="Times New Roman" w:cs="Times New Roman"/>
          <w:sz w:val="36"/>
          <w:szCs w:val="36"/>
        </w:rPr>
        <w:t xml:space="preserve"> </w:t>
      </w:r>
      <w:r w:rsidR="002675B2" w:rsidRPr="002675B2">
        <w:rPr>
          <w:rFonts w:ascii="Times New Roman" w:hAnsi="Times New Roman" w:cs="Times New Roman"/>
          <w:b/>
          <w:bCs/>
          <w:sz w:val="36"/>
          <w:szCs w:val="36"/>
        </w:rPr>
        <w:t xml:space="preserve">sono i soggetti </w:t>
      </w:r>
      <w:r w:rsidR="002675B2">
        <w:rPr>
          <w:rFonts w:ascii="Times New Roman" w:hAnsi="Times New Roman" w:cs="Times New Roman"/>
          <w:b/>
          <w:bCs/>
          <w:sz w:val="36"/>
          <w:szCs w:val="36"/>
        </w:rPr>
        <w:t>che hanno espressamente manifestato la volontà di aderire all’organizzazione o associazione mediante versamento di una quota associativ</w:t>
      </w:r>
      <w:r w:rsidR="003D2C86">
        <w:rPr>
          <w:rFonts w:ascii="Times New Roman" w:hAnsi="Times New Roman" w:cs="Times New Roman"/>
          <w:b/>
          <w:bCs/>
          <w:sz w:val="36"/>
          <w:szCs w:val="36"/>
        </w:rPr>
        <w:t>a di importo non meramente simbolico, in forma tracciabile ed almeno una volta nel biennio anteriore alla relativa dichiarazione</w:t>
      </w:r>
      <w:r w:rsidR="00C94689">
        <w:rPr>
          <w:rFonts w:ascii="Times New Roman" w:hAnsi="Times New Roman" w:cs="Times New Roman"/>
          <w:b/>
          <w:bCs/>
          <w:sz w:val="36"/>
          <w:szCs w:val="36"/>
        </w:rPr>
        <w:t xml:space="preserve">&gt;. </w:t>
      </w:r>
      <w:r w:rsidR="00C94689" w:rsidRPr="00C94689">
        <w:rPr>
          <w:rFonts w:ascii="Times New Roman" w:hAnsi="Times New Roman" w:cs="Times New Roman"/>
          <w:sz w:val="36"/>
          <w:szCs w:val="36"/>
        </w:rPr>
        <w:lastRenderedPageBreak/>
        <w:t xml:space="preserve">Tale </w:t>
      </w:r>
      <w:r w:rsidR="00C94689">
        <w:rPr>
          <w:rFonts w:ascii="Times New Roman" w:hAnsi="Times New Roman" w:cs="Times New Roman"/>
          <w:sz w:val="36"/>
          <w:szCs w:val="36"/>
        </w:rPr>
        <w:t>previsione vuole stabilire una partecipazione reale e non solo formale degli iscritti.</w:t>
      </w:r>
    </w:p>
    <w:p w14:paraId="6B4D3C99" w14:textId="5945BB85" w:rsidR="004170A7" w:rsidRPr="00A95451" w:rsidRDefault="004170A7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Svolgere in modo continuativo, adeguato e stabile le attività statutarie</w:t>
      </w:r>
      <w:r w:rsidR="00A85154">
        <w:rPr>
          <w:rFonts w:ascii="Times New Roman" w:hAnsi="Times New Roman" w:cs="Times New Roman"/>
          <w:b/>
          <w:bCs/>
          <w:sz w:val="36"/>
          <w:szCs w:val="36"/>
        </w:rPr>
        <w:t xml:space="preserve"> attraverso articolazioni territoriali, disponibilità di un sito internet aggiornato</w:t>
      </w:r>
      <w:r w:rsidR="005B6984">
        <w:rPr>
          <w:rFonts w:ascii="Times New Roman" w:hAnsi="Times New Roman" w:cs="Times New Roman"/>
          <w:b/>
          <w:bCs/>
          <w:sz w:val="36"/>
          <w:szCs w:val="36"/>
        </w:rPr>
        <w:t xml:space="preserve"> caratterizzato da contenuti informativi e dall’assenza di qualsiasi forma di pubblicità anche indiretta, </w:t>
      </w:r>
      <w:r w:rsidR="006A6443">
        <w:rPr>
          <w:rFonts w:ascii="Times New Roman" w:hAnsi="Times New Roman" w:cs="Times New Roman"/>
          <w:b/>
          <w:bCs/>
          <w:sz w:val="36"/>
          <w:szCs w:val="36"/>
        </w:rPr>
        <w:t>attività costante di assistenza e consulenza per gli iscritti e per soggetti terzi</w:t>
      </w:r>
      <w:r w:rsidR="007A25ED">
        <w:rPr>
          <w:rFonts w:ascii="Times New Roman" w:hAnsi="Times New Roman" w:cs="Times New Roman"/>
          <w:b/>
          <w:bCs/>
          <w:sz w:val="36"/>
          <w:szCs w:val="36"/>
        </w:rPr>
        <w:t xml:space="preserve">, l’adozione di iniziative pubbliche. </w:t>
      </w:r>
      <w:r w:rsidR="007A25ED" w:rsidRPr="007A25ED">
        <w:rPr>
          <w:rFonts w:ascii="Times New Roman" w:hAnsi="Times New Roman" w:cs="Times New Roman"/>
          <w:sz w:val="36"/>
          <w:szCs w:val="36"/>
        </w:rPr>
        <w:t xml:space="preserve">Tale </w:t>
      </w:r>
      <w:r w:rsidR="00E94C06">
        <w:rPr>
          <w:rFonts w:ascii="Times New Roman" w:hAnsi="Times New Roman" w:cs="Times New Roman"/>
          <w:sz w:val="36"/>
          <w:szCs w:val="36"/>
        </w:rPr>
        <w:t>disposizion</w:t>
      </w:r>
      <w:r w:rsidR="008A4474">
        <w:rPr>
          <w:rFonts w:ascii="Times New Roman" w:hAnsi="Times New Roman" w:cs="Times New Roman"/>
          <w:sz w:val="36"/>
          <w:szCs w:val="36"/>
        </w:rPr>
        <w:t>e stabilisce i quattro tratti essenziali dell’attività che devono essere tutti cumulativamente svolti da ciascun ente che richieda l’iscrizione nell’elenco.</w:t>
      </w:r>
      <w:r w:rsidR="00944BAD">
        <w:rPr>
          <w:rFonts w:ascii="Times New Roman" w:hAnsi="Times New Roman" w:cs="Times New Roman"/>
          <w:sz w:val="36"/>
          <w:szCs w:val="36"/>
        </w:rPr>
        <w:t xml:space="preserve"> Diversamente</w:t>
      </w:r>
      <w:r w:rsidR="00CB6C7A">
        <w:rPr>
          <w:rFonts w:ascii="Times New Roman" w:hAnsi="Times New Roman" w:cs="Times New Roman"/>
          <w:sz w:val="36"/>
          <w:szCs w:val="36"/>
        </w:rPr>
        <w:t xml:space="preserve"> da quelli anteriormente considerati, che possono essere verificati attraverso un semplice controllo di ordine documentale, il requisito stabilito dalla lettera e) </w:t>
      </w:r>
      <w:r w:rsidR="006C0F8E">
        <w:rPr>
          <w:rFonts w:ascii="Times New Roman" w:hAnsi="Times New Roman" w:cs="Times New Roman"/>
          <w:sz w:val="36"/>
          <w:szCs w:val="36"/>
        </w:rPr>
        <w:t xml:space="preserve">richiede delle indagini di ordine fattuale e </w:t>
      </w:r>
      <w:r w:rsidR="00650A36">
        <w:rPr>
          <w:rFonts w:ascii="Times New Roman" w:hAnsi="Times New Roman" w:cs="Times New Roman"/>
          <w:sz w:val="36"/>
          <w:szCs w:val="36"/>
        </w:rPr>
        <w:t xml:space="preserve"> </w:t>
      </w:r>
      <w:r w:rsidR="006C0F8E">
        <w:rPr>
          <w:rFonts w:ascii="Times New Roman" w:hAnsi="Times New Roman" w:cs="Times New Roman"/>
          <w:sz w:val="36"/>
          <w:szCs w:val="36"/>
        </w:rPr>
        <w:t>storico</w:t>
      </w:r>
      <w:r w:rsidR="001A3AF3">
        <w:rPr>
          <w:rFonts w:ascii="Times New Roman" w:hAnsi="Times New Roman" w:cs="Times New Roman"/>
          <w:sz w:val="36"/>
          <w:szCs w:val="36"/>
        </w:rPr>
        <w:t>. In particolare, si badi che il requisito del possesso di “articolazioni territoriali”</w:t>
      </w:r>
      <w:r w:rsidR="00650A36">
        <w:rPr>
          <w:rFonts w:ascii="Times New Roman" w:hAnsi="Times New Roman" w:cs="Times New Roman"/>
          <w:sz w:val="36"/>
          <w:szCs w:val="36"/>
        </w:rPr>
        <w:t xml:space="preserve"> non</w:t>
      </w:r>
      <w:r w:rsidR="00610236">
        <w:rPr>
          <w:rFonts w:ascii="Times New Roman" w:hAnsi="Times New Roman" w:cs="Times New Roman"/>
          <w:sz w:val="36"/>
          <w:szCs w:val="36"/>
        </w:rPr>
        <w:t xml:space="preserve"> stabilisce alcuna estensione (</w:t>
      </w:r>
      <w:r w:rsidR="00650A36">
        <w:rPr>
          <w:rFonts w:ascii="Times New Roman" w:hAnsi="Times New Roman" w:cs="Times New Roman"/>
          <w:sz w:val="36"/>
          <w:szCs w:val="36"/>
        </w:rPr>
        <w:t>a livello nazionale, interregionale…)</w:t>
      </w:r>
      <w:r w:rsidR="00A95451">
        <w:rPr>
          <w:rFonts w:ascii="Times New Roman" w:hAnsi="Times New Roman" w:cs="Times New Roman"/>
          <w:sz w:val="36"/>
          <w:szCs w:val="36"/>
        </w:rPr>
        <w:t>,</w:t>
      </w:r>
      <w:r w:rsidR="00610236">
        <w:rPr>
          <w:rFonts w:ascii="Times New Roman" w:hAnsi="Times New Roman" w:cs="Times New Roman"/>
          <w:sz w:val="36"/>
          <w:szCs w:val="36"/>
        </w:rPr>
        <w:t xml:space="preserve"> sicché</w:t>
      </w:r>
      <w:r w:rsidR="00A95451">
        <w:rPr>
          <w:rFonts w:ascii="Times New Roman" w:hAnsi="Times New Roman" w:cs="Times New Roman"/>
          <w:sz w:val="36"/>
          <w:szCs w:val="36"/>
        </w:rPr>
        <w:t xml:space="preserve"> deve ritenersi sufficiente che l’organizzazione abbia un radicamento locale, anche circoscritto territorialmente.</w:t>
      </w:r>
    </w:p>
    <w:p w14:paraId="320D5B3B" w14:textId="68BB152C" w:rsidR="00A95451" w:rsidRPr="00D13A13" w:rsidRDefault="0078270E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Operare la raccolta delle fonti di finanziamento con le modalità stabilite dal decreto legislativo 3 luglio 2017 n.</w:t>
      </w:r>
      <w:r w:rsidRPr="005A673C">
        <w:rPr>
          <w:rFonts w:ascii="Times New Roman" w:hAnsi="Times New Roman" w:cs="Times New Roman"/>
          <w:b/>
          <w:bCs/>
          <w:sz w:val="36"/>
          <w:szCs w:val="36"/>
        </w:rPr>
        <w:t>117</w:t>
      </w:r>
      <w:r w:rsidR="005A673C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F93FB9">
        <w:rPr>
          <w:rFonts w:ascii="Times New Roman" w:hAnsi="Times New Roman" w:cs="Times New Roman"/>
          <w:b/>
          <w:bCs/>
          <w:sz w:val="36"/>
          <w:szCs w:val="36"/>
        </w:rPr>
        <w:t xml:space="preserve">in forza di questa previsione le organizzazioni ed associazioni che chiedono di essere </w:t>
      </w:r>
      <w:r w:rsidR="00AC1DA5">
        <w:rPr>
          <w:rFonts w:ascii="Times New Roman" w:hAnsi="Times New Roman" w:cs="Times New Roman"/>
          <w:b/>
          <w:bCs/>
          <w:sz w:val="36"/>
          <w:szCs w:val="36"/>
        </w:rPr>
        <w:t xml:space="preserve">iscritti all’elenco devono dimostrare </w:t>
      </w:r>
      <w:r w:rsidR="00D650FF">
        <w:rPr>
          <w:rFonts w:ascii="Times New Roman" w:hAnsi="Times New Roman" w:cs="Times New Roman"/>
          <w:b/>
          <w:bCs/>
          <w:sz w:val="36"/>
          <w:szCs w:val="36"/>
        </w:rPr>
        <w:t>non solo di avere i requisiti formali propri degli enti del terzo settore, ma è necessario</w:t>
      </w:r>
      <w:r w:rsidR="005B5564">
        <w:rPr>
          <w:rFonts w:ascii="Times New Roman" w:hAnsi="Times New Roman" w:cs="Times New Roman"/>
          <w:b/>
          <w:bCs/>
          <w:sz w:val="36"/>
          <w:szCs w:val="36"/>
        </w:rPr>
        <w:t xml:space="preserve"> che siano tali sotto il profilo del loro sostentamento economico. L’art. 7 </w:t>
      </w:r>
      <w:r w:rsidR="00F92E8E">
        <w:rPr>
          <w:rFonts w:ascii="Times New Roman" w:hAnsi="Times New Roman" w:cs="Times New Roman"/>
          <w:b/>
          <w:bCs/>
          <w:sz w:val="36"/>
          <w:szCs w:val="36"/>
        </w:rPr>
        <w:t>del Dlgs 117/17</w:t>
      </w:r>
      <w:r w:rsidR="008D4998">
        <w:rPr>
          <w:rFonts w:ascii="Times New Roman" w:hAnsi="Times New Roman" w:cs="Times New Roman"/>
          <w:b/>
          <w:bCs/>
          <w:sz w:val="36"/>
          <w:szCs w:val="36"/>
        </w:rPr>
        <w:t xml:space="preserve"> chiarisce che &lt; 1. Per raccolta fondi si intende </w:t>
      </w:r>
      <w:r w:rsidR="006F730A">
        <w:rPr>
          <w:rFonts w:ascii="Times New Roman" w:hAnsi="Times New Roman" w:cs="Times New Roman"/>
          <w:b/>
          <w:bCs/>
          <w:sz w:val="36"/>
          <w:szCs w:val="36"/>
        </w:rPr>
        <w:t>il complesso delle attività ed iniziative poste in essere da un ente del Terzo settore</w:t>
      </w:r>
      <w:r w:rsidR="00B95081">
        <w:rPr>
          <w:rFonts w:ascii="Times New Roman" w:hAnsi="Times New Roman" w:cs="Times New Roman"/>
          <w:b/>
          <w:bCs/>
          <w:sz w:val="36"/>
          <w:szCs w:val="36"/>
        </w:rPr>
        <w:t xml:space="preserve">, al fine di finanziare le proprie attività di interesse generale, </w:t>
      </w:r>
      <w:r w:rsidR="00B95081">
        <w:rPr>
          <w:rFonts w:ascii="Times New Roman" w:hAnsi="Times New Roman" w:cs="Times New Roman"/>
          <w:b/>
          <w:bCs/>
          <w:sz w:val="36"/>
          <w:szCs w:val="36"/>
        </w:rPr>
        <w:lastRenderedPageBreak/>
        <w:t>anche attraverso la richiesta a terzi di lasciti, donazioni e contributi di natura non corrispettiva</w:t>
      </w:r>
      <w:r w:rsidR="00115197">
        <w:rPr>
          <w:rFonts w:ascii="Times New Roman" w:hAnsi="Times New Roman" w:cs="Times New Roman"/>
          <w:b/>
          <w:bCs/>
          <w:sz w:val="36"/>
          <w:szCs w:val="36"/>
        </w:rPr>
        <w:t xml:space="preserve">&gt; </w:t>
      </w:r>
      <w:r w:rsidR="00FD4159">
        <w:rPr>
          <w:rFonts w:ascii="Times New Roman" w:hAnsi="Times New Roman" w:cs="Times New Roman"/>
          <w:b/>
          <w:bCs/>
          <w:sz w:val="36"/>
          <w:szCs w:val="36"/>
        </w:rPr>
        <w:t xml:space="preserve">e che &lt;2. </w:t>
      </w:r>
      <w:r w:rsidR="00A3673B">
        <w:rPr>
          <w:rFonts w:ascii="Times New Roman" w:hAnsi="Times New Roman" w:cs="Times New Roman"/>
          <w:b/>
          <w:bCs/>
          <w:sz w:val="36"/>
          <w:szCs w:val="36"/>
        </w:rPr>
        <w:t>Gli enti del Terzo settore, possono realizzare attività di raccolta fondi anche in forma organizzata e continuativa</w:t>
      </w:r>
      <w:r w:rsidR="009E7A04">
        <w:rPr>
          <w:rFonts w:ascii="Times New Roman" w:hAnsi="Times New Roman" w:cs="Times New Roman"/>
          <w:b/>
          <w:bCs/>
          <w:sz w:val="36"/>
          <w:szCs w:val="36"/>
        </w:rPr>
        <w:t>, anche mediante sollecitazione al pubblico o attraverso la cessione o erogazione di beni o servizi di modico val</w:t>
      </w:r>
      <w:r w:rsidR="009D6A84">
        <w:rPr>
          <w:rFonts w:ascii="Times New Roman" w:hAnsi="Times New Roman" w:cs="Times New Roman"/>
          <w:b/>
          <w:bCs/>
          <w:sz w:val="36"/>
          <w:szCs w:val="36"/>
        </w:rPr>
        <w:t>ore, impiegando risorse proprie e di terzi, inclusi volontari e dipendenti, nel rispetto dei principi di verità, trasparenza e correttezza nei rapporti con i sostenitori e il pubblico</w:t>
      </w:r>
      <w:r w:rsidR="00854BB9">
        <w:rPr>
          <w:rFonts w:ascii="Times New Roman" w:hAnsi="Times New Roman" w:cs="Times New Roman"/>
          <w:b/>
          <w:bCs/>
          <w:sz w:val="36"/>
          <w:szCs w:val="36"/>
        </w:rPr>
        <w:t>, in conformità alle Linee Guide adottate con decreto del Ministro del lavoro e delle Politiche Sociali, sentita la Cabina di Regia di cui all’art. 97 e il Consiglio nazionale del Terzo Se</w:t>
      </w:r>
      <w:r w:rsidR="00ED1868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854BB9">
        <w:rPr>
          <w:rFonts w:ascii="Times New Roman" w:hAnsi="Times New Roman" w:cs="Times New Roman"/>
          <w:b/>
          <w:bCs/>
          <w:sz w:val="36"/>
          <w:szCs w:val="36"/>
        </w:rPr>
        <w:t>tore&gt;</w:t>
      </w:r>
      <w:r w:rsidR="00010C1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2FDEEA7" w14:textId="031EB7E1" w:rsidR="00D13A13" w:rsidRPr="00403BCE" w:rsidRDefault="00EF2231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Prevedere requisiti di onorabilità degli associati, amministratori o rappresentanti conformi a quelli fissati dall’art. 13 del decreto legislativo 24 febbraio 1998 n.58, </w:t>
      </w:r>
      <w:r w:rsidRPr="00EF2231"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ioè</w:t>
      </w:r>
      <w:r w:rsidR="006103CE">
        <w:rPr>
          <w:rFonts w:ascii="Times New Roman" w:hAnsi="Times New Roman" w:cs="Times New Roman"/>
          <w:sz w:val="36"/>
          <w:szCs w:val="36"/>
        </w:rPr>
        <w:t xml:space="preserve"> quelli previsti dal Tuf per &lt;i soggetti che svolgono funzioni di amministrazione, direzione e controllo presso SIM</w:t>
      </w:r>
      <w:r w:rsidR="00403BCE">
        <w:rPr>
          <w:rFonts w:ascii="Times New Roman" w:hAnsi="Times New Roman" w:cs="Times New Roman"/>
          <w:sz w:val="36"/>
          <w:szCs w:val="36"/>
        </w:rPr>
        <w:t xml:space="preserve">, società di gestione del risparmio, Sicav e </w:t>
      </w:r>
      <w:proofErr w:type="spellStart"/>
      <w:r w:rsidR="00403BCE">
        <w:rPr>
          <w:rFonts w:ascii="Times New Roman" w:hAnsi="Times New Roman" w:cs="Times New Roman"/>
          <w:sz w:val="36"/>
          <w:szCs w:val="36"/>
        </w:rPr>
        <w:t>Sicaf</w:t>
      </w:r>
      <w:proofErr w:type="spellEnd"/>
      <w:r w:rsidR="00403BCE">
        <w:rPr>
          <w:rFonts w:ascii="Times New Roman" w:hAnsi="Times New Roman" w:cs="Times New Roman"/>
          <w:sz w:val="36"/>
          <w:szCs w:val="36"/>
        </w:rPr>
        <w:t>&gt;.</w:t>
      </w:r>
    </w:p>
    <w:p w14:paraId="4C80EF0E" w14:textId="7CE1411E" w:rsidR="00403BCE" w:rsidRPr="00985251" w:rsidRDefault="00403BCE" w:rsidP="00CD5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Prevedere a livello statutario la trasparenza amministrativa e contabile anche mediante la pubblicazione annuale del bilancio </w:t>
      </w:r>
      <w:r w:rsidR="000824FE">
        <w:rPr>
          <w:rFonts w:ascii="Times New Roman" w:hAnsi="Times New Roman" w:cs="Times New Roman"/>
          <w:b/>
          <w:bCs/>
          <w:sz w:val="36"/>
          <w:szCs w:val="36"/>
        </w:rPr>
        <w:t>e la revisione del medesimo</w:t>
      </w:r>
      <w:r w:rsidR="000A2BA5">
        <w:rPr>
          <w:rFonts w:ascii="Times New Roman" w:hAnsi="Times New Roman" w:cs="Times New Roman"/>
          <w:b/>
          <w:bCs/>
          <w:sz w:val="36"/>
          <w:szCs w:val="36"/>
        </w:rPr>
        <w:t xml:space="preserve"> ad opera di soggetti terzi</w:t>
      </w:r>
      <w:r w:rsidR="00E81452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E81452" w:rsidRPr="00A220BC">
        <w:rPr>
          <w:rFonts w:ascii="Times New Roman" w:hAnsi="Times New Roman" w:cs="Times New Roman"/>
          <w:sz w:val="36"/>
          <w:szCs w:val="36"/>
        </w:rPr>
        <w:t xml:space="preserve">In proposito </w:t>
      </w:r>
      <w:r w:rsidR="002474F3">
        <w:rPr>
          <w:rFonts w:ascii="Times New Roman" w:hAnsi="Times New Roman" w:cs="Times New Roman"/>
          <w:sz w:val="36"/>
          <w:szCs w:val="36"/>
        </w:rPr>
        <w:t>va ricordato che tali obblighi sono imposti in generale per tutti gli enti del Terzo settore</w:t>
      </w:r>
      <w:r w:rsidR="008E1D84">
        <w:rPr>
          <w:rFonts w:ascii="Times New Roman" w:hAnsi="Times New Roman" w:cs="Times New Roman"/>
          <w:sz w:val="36"/>
          <w:szCs w:val="36"/>
        </w:rPr>
        <w:t xml:space="preserve"> dagli art. 12 e 13,”Scritture contabili e bilancio”</w:t>
      </w:r>
      <w:r w:rsidR="00DE3BB5">
        <w:rPr>
          <w:rFonts w:ascii="Times New Roman" w:hAnsi="Times New Roman" w:cs="Times New Roman"/>
          <w:sz w:val="36"/>
          <w:szCs w:val="36"/>
        </w:rPr>
        <w:t xml:space="preserve"> e “Bilancio sociale”</w:t>
      </w:r>
      <w:r w:rsidR="008E387C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7"/>
      </w:r>
      <w:r w:rsidR="004F6137">
        <w:rPr>
          <w:rFonts w:ascii="Times New Roman" w:hAnsi="Times New Roman" w:cs="Times New Roman"/>
          <w:sz w:val="36"/>
          <w:szCs w:val="36"/>
        </w:rPr>
        <w:t>, nonché 30 e 31, “Organo di controllo” e “</w:t>
      </w:r>
      <w:r w:rsidR="00C00630">
        <w:rPr>
          <w:rFonts w:ascii="Times New Roman" w:hAnsi="Times New Roman" w:cs="Times New Roman"/>
          <w:sz w:val="36"/>
          <w:szCs w:val="36"/>
        </w:rPr>
        <w:t>Revisione legale dei conti”, del Codice del Terzo Settore</w:t>
      </w:r>
      <w:r w:rsidR="00985251">
        <w:rPr>
          <w:rFonts w:ascii="Times New Roman" w:hAnsi="Times New Roman" w:cs="Times New Roman"/>
          <w:sz w:val="36"/>
          <w:szCs w:val="36"/>
        </w:rPr>
        <w:t>.</w:t>
      </w:r>
    </w:p>
    <w:p w14:paraId="3BBDC2AE" w14:textId="417FDC41" w:rsidR="00985251" w:rsidRDefault="00985251" w:rsidP="00985251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985251">
        <w:rPr>
          <w:rFonts w:ascii="Times New Roman" w:hAnsi="Times New Roman" w:cs="Times New Roman"/>
          <w:sz w:val="36"/>
          <w:szCs w:val="36"/>
        </w:rPr>
        <w:lastRenderedPageBreak/>
        <w:t>L’</w:t>
      </w:r>
      <w:r>
        <w:rPr>
          <w:rFonts w:ascii="Times New Roman" w:hAnsi="Times New Roman" w:cs="Times New Roman"/>
          <w:sz w:val="36"/>
          <w:szCs w:val="36"/>
        </w:rPr>
        <w:t xml:space="preserve">attuale </w:t>
      </w:r>
      <w:r w:rsidR="00BA1EB3">
        <w:rPr>
          <w:rFonts w:ascii="Times New Roman" w:hAnsi="Times New Roman" w:cs="Times New Roman"/>
          <w:sz w:val="36"/>
          <w:szCs w:val="36"/>
        </w:rPr>
        <w:t>Decreto del minis</w:t>
      </w:r>
      <w:r w:rsidR="00610236">
        <w:rPr>
          <w:rFonts w:ascii="Times New Roman" w:hAnsi="Times New Roman" w:cs="Times New Roman"/>
          <w:sz w:val="36"/>
          <w:szCs w:val="36"/>
        </w:rPr>
        <w:t>tero della giustizia disciplina</w:t>
      </w:r>
      <w:r w:rsidR="00BA1EB3">
        <w:rPr>
          <w:rFonts w:ascii="Times New Roman" w:hAnsi="Times New Roman" w:cs="Times New Roman"/>
          <w:sz w:val="36"/>
          <w:szCs w:val="36"/>
        </w:rPr>
        <w:t>,</w:t>
      </w:r>
      <w:r w:rsidR="00610236">
        <w:rPr>
          <w:rFonts w:ascii="Times New Roman" w:hAnsi="Times New Roman" w:cs="Times New Roman"/>
          <w:sz w:val="36"/>
          <w:szCs w:val="36"/>
        </w:rPr>
        <w:t xml:space="preserve"> </w:t>
      </w:r>
      <w:r w:rsidR="00BA1EB3">
        <w:rPr>
          <w:rFonts w:ascii="Times New Roman" w:hAnsi="Times New Roman" w:cs="Times New Roman"/>
          <w:sz w:val="36"/>
          <w:szCs w:val="36"/>
        </w:rPr>
        <w:t>altresì, le regole d</w:t>
      </w:r>
      <w:r w:rsidR="00571EBD">
        <w:rPr>
          <w:rFonts w:ascii="Times New Roman" w:hAnsi="Times New Roman" w:cs="Times New Roman"/>
          <w:sz w:val="36"/>
          <w:szCs w:val="36"/>
        </w:rPr>
        <w:t>i</w:t>
      </w:r>
      <w:r w:rsidR="00BA1EB3">
        <w:rPr>
          <w:rFonts w:ascii="Times New Roman" w:hAnsi="Times New Roman" w:cs="Times New Roman"/>
          <w:sz w:val="36"/>
          <w:szCs w:val="36"/>
        </w:rPr>
        <w:t xml:space="preserve"> ordine procedimentale che i richiedenti ed il Ministero della Giustizia devono seguire, rispettivamente:</w:t>
      </w:r>
    </w:p>
    <w:p w14:paraId="4A848C73" w14:textId="613192BC" w:rsidR="00BA1EB3" w:rsidRDefault="00CB3564" w:rsidP="00CB35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Nella presentazione della domanda (articolo</w:t>
      </w:r>
      <w:r w:rsidR="006102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4).</w:t>
      </w:r>
    </w:p>
    <w:p w14:paraId="4997E971" w14:textId="47E69A8D" w:rsidR="00CB3564" w:rsidRDefault="00CB3564" w:rsidP="00CB35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Nell’istruttoria da svolgere per l’iscrizione nel registro (articolo 6), per l’aggiornamento annuale dell’elenco (articoli 7 e 89</w:t>
      </w:r>
      <w:r w:rsidR="00206CCF">
        <w:rPr>
          <w:rFonts w:ascii="Times New Roman" w:hAnsi="Times New Roman" w:cs="Times New Roman"/>
          <w:sz w:val="36"/>
          <w:szCs w:val="36"/>
        </w:rPr>
        <w:t>, nonché per l’adozione degli eventuali provvedimenti di sospensione e cancellazione dall’elenco ( articolo 9 e 11).</w:t>
      </w:r>
    </w:p>
    <w:p w14:paraId="74C3E9FD" w14:textId="34443E15" w:rsidR="000A20DC" w:rsidRPr="00FE5944" w:rsidRDefault="00610236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È </w:t>
      </w:r>
      <w:r w:rsidR="000A20DC" w:rsidRPr="00FE5944">
        <w:rPr>
          <w:rFonts w:ascii="Times New Roman" w:hAnsi="Times New Roman" w:cs="Times New Roman"/>
          <w:sz w:val="36"/>
          <w:szCs w:val="36"/>
        </w:rPr>
        <w:t>importante precisare che gli eventuali provvedimenti di sospensione o cancellazione degli enti dall’elenco non paiono in grado di incidere sullo svolgimento degli eventuali processi collettivi già instaurati e pendenti</w:t>
      </w:r>
      <w:r w:rsidR="00F663B3" w:rsidRPr="00FE5944">
        <w:rPr>
          <w:rFonts w:ascii="Times New Roman" w:hAnsi="Times New Roman" w:cs="Times New Roman"/>
          <w:sz w:val="36"/>
          <w:szCs w:val="36"/>
        </w:rPr>
        <w:t>: non vengono meno né la legittimazione processuale dell’ente promotore,</w:t>
      </w:r>
      <w:r w:rsidR="008F5D2E" w:rsidRPr="00FE5944">
        <w:rPr>
          <w:rFonts w:ascii="Times New Roman" w:hAnsi="Times New Roman" w:cs="Times New Roman"/>
          <w:sz w:val="36"/>
          <w:szCs w:val="36"/>
        </w:rPr>
        <w:t xml:space="preserve"> </w:t>
      </w:r>
      <w:r w:rsidR="00F663B3" w:rsidRPr="00FE5944">
        <w:rPr>
          <w:rFonts w:ascii="Times New Roman" w:hAnsi="Times New Roman" w:cs="Times New Roman"/>
          <w:sz w:val="36"/>
          <w:szCs w:val="36"/>
        </w:rPr>
        <w:t>né di conseguenza, le sue prerogative, i suoi obblighi ed i suoi oneri nei confronti degli aderenti all’azione di classe</w:t>
      </w:r>
      <w:r w:rsidR="00890935" w:rsidRPr="00FE5944">
        <w:rPr>
          <w:rFonts w:ascii="Times New Roman" w:hAnsi="Times New Roman" w:cs="Times New Roman"/>
          <w:sz w:val="36"/>
          <w:szCs w:val="36"/>
        </w:rPr>
        <w:t xml:space="preserve"> previsti dagli art.840-bis e seguenti del cpc.</w:t>
      </w:r>
    </w:p>
    <w:p w14:paraId="019B4ABA" w14:textId="0A0E7BD3" w:rsidR="00FE5944" w:rsidRDefault="00FE5944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FE5944">
        <w:rPr>
          <w:rFonts w:ascii="Times New Roman" w:hAnsi="Times New Roman" w:cs="Times New Roman"/>
          <w:sz w:val="36"/>
          <w:szCs w:val="36"/>
        </w:rPr>
        <w:t>Tale azione assume un rilievo decisivo nel settore dei servizi pubblici di interesse economico</w:t>
      </w:r>
      <w:r w:rsidR="001B2CF1">
        <w:rPr>
          <w:rFonts w:ascii="Times New Roman" w:hAnsi="Times New Roman" w:cs="Times New Roman"/>
          <w:sz w:val="36"/>
          <w:szCs w:val="36"/>
        </w:rPr>
        <w:t xml:space="preserve">, oggetto di riforma sia nel nuovo </w:t>
      </w:r>
      <w:r w:rsidR="001B2CF1" w:rsidRPr="00BF5DF5">
        <w:rPr>
          <w:rFonts w:ascii="Times New Roman" w:hAnsi="Times New Roman" w:cs="Times New Roman"/>
          <w:b/>
          <w:bCs/>
          <w:sz w:val="36"/>
          <w:szCs w:val="36"/>
        </w:rPr>
        <w:t>DDL concorrenza</w:t>
      </w:r>
      <w:r w:rsidR="001B2CF1">
        <w:rPr>
          <w:rFonts w:ascii="Times New Roman" w:hAnsi="Times New Roman" w:cs="Times New Roman"/>
          <w:sz w:val="36"/>
          <w:szCs w:val="36"/>
        </w:rPr>
        <w:t xml:space="preserve"> in esame in Parlamento</w:t>
      </w:r>
      <w:r w:rsidR="00610236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8"/>
      </w:r>
      <w:r w:rsidR="001B2CF1">
        <w:rPr>
          <w:rFonts w:ascii="Times New Roman" w:hAnsi="Times New Roman" w:cs="Times New Roman"/>
          <w:sz w:val="36"/>
          <w:szCs w:val="36"/>
        </w:rPr>
        <w:t xml:space="preserve"> sia </w:t>
      </w:r>
      <w:r w:rsidR="001A4E11">
        <w:rPr>
          <w:rFonts w:ascii="Times New Roman" w:hAnsi="Times New Roman" w:cs="Times New Roman"/>
          <w:sz w:val="36"/>
          <w:szCs w:val="36"/>
        </w:rPr>
        <w:t xml:space="preserve">nella </w:t>
      </w:r>
      <w:r w:rsidR="001A4E11" w:rsidRPr="00CF16ED">
        <w:rPr>
          <w:rFonts w:ascii="Times New Roman" w:hAnsi="Times New Roman" w:cs="Times New Roman"/>
          <w:b/>
          <w:bCs/>
          <w:sz w:val="36"/>
          <w:szCs w:val="36"/>
        </w:rPr>
        <w:t>legge delega n.78 sui contratti pubblici</w:t>
      </w:r>
      <w:r w:rsidR="001A4E11">
        <w:rPr>
          <w:rFonts w:ascii="Times New Roman" w:hAnsi="Times New Roman" w:cs="Times New Roman"/>
          <w:sz w:val="36"/>
          <w:szCs w:val="36"/>
        </w:rPr>
        <w:t xml:space="preserve"> approvata lo scorso giugno. I servizi pubblici sono centrali anche nel PNRR, in quanto vedono </w:t>
      </w:r>
      <w:r w:rsidR="00761AF4">
        <w:rPr>
          <w:rFonts w:ascii="Times New Roman" w:hAnsi="Times New Roman" w:cs="Times New Roman"/>
          <w:sz w:val="36"/>
          <w:szCs w:val="36"/>
        </w:rPr>
        <w:t>protagonisti</w:t>
      </w:r>
      <w:r w:rsidR="001A4E11">
        <w:rPr>
          <w:rFonts w:ascii="Times New Roman" w:hAnsi="Times New Roman" w:cs="Times New Roman"/>
          <w:sz w:val="36"/>
          <w:szCs w:val="36"/>
        </w:rPr>
        <w:t xml:space="preserve"> gli enti locali in applicazione del </w:t>
      </w:r>
      <w:r w:rsidR="001A4E11" w:rsidRPr="00B7713B">
        <w:rPr>
          <w:rFonts w:ascii="Times New Roman" w:hAnsi="Times New Roman" w:cs="Times New Roman"/>
          <w:i/>
          <w:iCs/>
          <w:sz w:val="36"/>
          <w:szCs w:val="36"/>
        </w:rPr>
        <w:t>principio di sussidiarietà</w:t>
      </w:r>
      <w:r w:rsidR="00B7713B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  <w:r w:rsidR="00B7713B" w:rsidRPr="00B7713B">
        <w:rPr>
          <w:rFonts w:ascii="Times New Roman" w:hAnsi="Times New Roman" w:cs="Times New Roman"/>
          <w:sz w:val="36"/>
          <w:szCs w:val="36"/>
        </w:rPr>
        <w:t>Le c</w:t>
      </w:r>
      <w:r w:rsidR="00212F49">
        <w:rPr>
          <w:rFonts w:ascii="Times New Roman" w:hAnsi="Times New Roman" w:cs="Times New Roman"/>
          <w:sz w:val="36"/>
          <w:szCs w:val="36"/>
        </w:rPr>
        <w:t>.</w:t>
      </w:r>
      <w:r w:rsidR="00B7713B" w:rsidRPr="00B7713B">
        <w:rPr>
          <w:rFonts w:ascii="Times New Roman" w:hAnsi="Times New Roman" w:cs="Times New Roman"/>
          <w:sz w:val="36"/>
          <w:szCs w:val="36"/>
        </w:rPr>
        <w:t>d</w:t>
      </w:r>
      <w:r w:rsidR="00212F49">
        <w:rPr>
          <w:rFonts w:ascii="Times New Roman" w:hAnsi="Times New Roman" w:cs="Times New Roman"/>
          <w:sz w:val="36"/>
          <w:szCs w:val="36"/>
        </w:rPr>
        <w:t>.</w:t>
      </w:r>
      <w:r w:rsidR="00B7713B" w:rsidRPr="00B7713B">
        <w:rPr>
          <w:rFonts w:ascii="Times New Roman" w:hAnsi="Times New Roman" w:cs="Times New Roman"/>
          <w:sz w:val="36"/>
          <w:szCs w:val="36"/>
        </w:rPr>
        <w:t xml:space="preserve"> Carte dei servizi</w:t>
      </w:r>
      <w:r w:rsidR="00B7713B">
        <w:rPr>
          <w:rFonts w:ascii="Times New Roman" w:hAnsi="Times New Roman" w:cs="Times New Roman"/>
          <w:sz w:val="36"/>
          <w:szCs w:val="36"/>
        </w:rPr>
        <w:t xml:space="preserve"> </w:t>
      </w:r>
      <w:r w:rsidR="00964486">
        <w:rPr>
          <w:rFonts w:ascii="Times New Roman" w:hAnsi="Times New Roman" w:cs="Times New Roman"/>
          <w:sz w:val="36"/>
          <w:szCs w:val="36"/>
        </w:rPr>
        <w:t xml:space="preserve">e il criterio della cd </w:t>
      </w:r>
      <w:r w:rsidR="00964486" w:rsidRPr="00964486">
        <w:rPr>
          <w:rFonts w:ascii="Times New Roman" w:hAnsi="Times New Roman" w:cs="Times New Roman"/>
          <w:i/>
          <w:iCs/>
          <w:sz w:val="36"/>
          <w:szCs w:val="36"/>
        </w:rPr>
        <w:t xml:space="preserve">“customer </w:t>
      </w:r>
      <w:proofErr w:type="spellStart"/>
      <w:r w:rsidR="00964486" w:rsidRPr="00964486">
        <w:rPr>
          <w:rFonts w:ascii="Times New Roman" w:hAnsi="Times New Roman" w:cs="Times New Roman"/>
          <w:i/>
          <w:iCs/>
          <w:sz w:val="36"/>
          <w:szCs w:val="36"/>
        </w:rPr>
        <w:t>satisfaction</w:t>
      </w:r>
      <w:proofErr w:type="spellEnd"/>
      <w:r w:rsidR="00964486">
        <w:rPr>
          <w:rFonts w:ascii="Times New Roman" w:hAnsi="Times New Roman" w:cs="Times New Roman"/>
          <w:sz w:val="36"/>
          <w:szCs w:val="36"/>
        </w:rPr>
        <w:t>”</w:t>
      </w:r>
      <w:r w:rsidR="00ED1868">
        <w:rPr>
          <w:rFonts w:ascii="Times New Roman" w:hAnsi="Times New Roman" w:cs="Times New Roman"/>
          <w:sz w:val="36"/>
          <w:szCs w:val="36"/>
        </w:rPr>
        <w:t xml:space="preserve"> </w:t>
      </w:r>
      <w:r w:rsidR="00B7713B">
        <w:rPr>
          <w:rFonts w:ascii="Times New Roman" w:hAnsi="Times New Roman" w:cs="Times New Roman"/>
          <w:sz w:val="36"/>
          <w:szCs w:val="36"/>
        </w:rPr>
        <w:t xml:space="preserve">rappresentano l’indice rivelatore della qualità dei servizi e di conseguenza della qualità della vita dei cittadini. Non è un caso che in tali giorni il Codacons stia valutando una class action contro AMA e il </w:t>
      </w:r>
      <w:r w:rsidR="00B7713B">
        <w:rPr>
          <w:rFonts w:ascii="Times New Roman" w:hAnsi="Times New Roman" w:cs="Times New Roman"/>
          <w:sz w:val="36"/>
          <w:szCs w:val="36"/>
        </w:rPr>
        <w:lastRenderedPageBreak/>
        <w:t>Comune di Roma per la grave situazione dei rifiuti nella capitale</w:t>
      </w:r>
      <w:r w:rsidR="00212F49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9"/>
      </w:r>
      <w:r w:rsidR="00B34AA2">
        <w:rPr>
          <w:rFonts w:ascii="Times New Roman" w:hAnsi="Times New Roman" w:cs="Times New Roman"/>
          <w:sz w:val="36"/>
          <w:szCs w:val="36"/>
        </w:rPr>
        <w:t>.</w:t>
      </w:r>
    </w:p>
    <w:p w14:paraId="3907CC9A" w14:textId="00E7CE02" w:rsidR="00964486" w:rsidRDefault="00964486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Un apposito gruppo di lavoro istituito presso</w:t>
      </w:r>
      <w:r w:rsidR="00BF5DF5">
        <w:rPr>
          <w:rFonts w:ascii="Times New Roman" w:hAnsi="Times New Roman" w:cs="Times New Roman"/>
          <w:sz w:val="36"/>
          <w:szCs w:val="36"/>
        </w:rPr>
        <w:t xml:space="preserve"> il Segretariato </w:t>
      </w:r>
      <w:proofErr w:type="gramStart"/>
      <w:r w:rsidR="00BF5DF5">
        <w:rPr>
          <w:rFonts w:ascii="Times New Roman" w:hAnsi="Times New Roman" w:cs="Times New Roman"/>
          <w:sz w:val="36"/>
          <w:szCs w:val="36"/>
        </w:rPr>
        <w:t>della</w:t>
      </w:r>
      <w:r>
        <w:rPr>
          <w:rFonts w:ascii="Times New Roman" w:hAnsi="Times New Roman" w:cs="Times New Roman"/>
          <w:sz w:val="36"/>
          <w:szCs w:val="36"/>
        </w:rPr>
        <w:t xml:space="preserve">  Presidenza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del </w:t>
      </w:r>
      <w:r w:rsidR="00525DDD"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onsiglio dei Ministri coordinato dal Prof.</w:t>
      </w:r>
      <w:r w:rsidR="00ED18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Caia </w:t>
      </w:r>
      <w:r w:rsidR="00525DDD">
        <w:rPr>
          <w:rFonts w:ascii="Times New Roman" w:hAnsi="Times New Roman" w:cs="Times New Roman"/>
          <w:sz w:val="36"/>
          <w:szCs w:val="36"/>
        </w:rPr>
        <w:t>sta elaborando un apposito studio sul tema dei servizi pubblici</w:t>
      </w:r>
      <w:r w:rsidR="002A7DBE">
        <w:rPr>
          <w:rFonts w:ascii="Times New Roman" w:hAnsi="Times New Roman" w:cs="Times New Roman"/>
          <w:sz w:val="36"/>
          <w:szCs w:val="36"/>
        </w:rPr>
        <w:t xml:space="preserve"> al fine di una sua armonizzazione in un Testo Unico</w:t>
      </w:r>
      <w:r w:rsidR="006C3426">
        <w:rPr>
          <w:rFonts w:ascii="Times New Roman" w:hAnsi="Times New Roman" w:cs="Times New Roman"/>
          <w:sz w:val="36"/>
          <w:szCs w:val="36"/>
        </w:rPr>
        <w:t xml:space="preserve">, attraverso un metodo comparatistico che va dal Contratto delle collettività territoriali francesi basate sul </w:t>
      </w:r>
      <w:proofErr w:type="spellStart"/>
      <w:r w:rsidR="006C3426" w:rsidRPr="00761AF4">
        <w:rPr>
          <w:rFonts w:ascii="Times New Roman" w:hAnsi="Times New Roman" w:cs="Times New Roman"/>
          <w:i/>
          <w:iCs/>
          <w:sz w:val="36"/>
          <w:szCs w:val="36"/>
        </w:rPr>
        <w:t>debàt</w:t>
      </w:r>
      <w:proofErr w:type="spellEnd"/>
      <w:r w:rsidR="006C3426" w:rsidRPr="00761A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6C3426" w:rsidRPr="00761AF4">
        <w:rPr>
          <w:rFonts w:ascii="Times New Roman" w:hAnsi="Times New Roman" w:cs="Times New Roman"/>
          <w:i/>
          <w:iCs/>
          <w:sz w:val="36"/>
          <w:szCs w:val="36"/>
        </w:rPr>
        <w:t>pubblic</w:t>
      </w:r>
      <w:proofErr w:type="spellEnd"/>
      <w:r w:rsidR="005C4100" w:rsidRPr="00212F49">
        <w:rPr>
          <w:rFonts w:ascii="Times New Roman" w:hAnsi="Times New Roman" w:cs="Times New Roman"/>
          <w:sz w:val="36"/>
          <w:szCs w:val="36"/>
        </w:rPr>
        <w:t xml:space="preserve"> al </w:t>
      </w:r>
      <w:r w:rsidR="005C4100" w:rsidRPr="00761AF4">
        <w:rPr>
          <w:rFonts w:ascii="Times New Roman" w:hAnsi="Times New Roman" w:cs="Times New Roman"/>
          <w:i/>
          <w:iCs/>
          <w:sz w:val="36"/>
          <w:szCs w:val="36"/>
        </w:rPr>
        <w:t>Local Government Act</w:t>
      </w:r>
      <w:r w:rsidR="005C4100" w:rsidRPr="00212F49">
        <w:rPr>
          <w:rFonts w:ascii="Times New Roman" w:hAnsi="Times New Roman" w:cs="Times New Roman"/>
          <w:sz w:val="36"/>
          <w:szCs w:val="36"/>
        </w:rPr>
        <w:t xml:space="preserve"> inglese, fino a valutare le realtà dei </w:t>
      </w:r>
      <w:r w:rsidR="00761AF4">
        <w:rPr>
          <w:rFonts w:ascii="Times New Roman" w:hAnsi="Times New Roman" w:cs="Times New Roman"/>
          <w:sz w:val="36"/>
          <w:szCs w:val="36"/>
        </w:rPr>
        <w:t>L</w:t>
      </w:r>
      <w:r w:rsidR="005C4100" w:rsidRPr="00212F49">
        <w:rPr>
          <w:rFonts w:ascii="Times New Roman" w:hAnsi="Times New Roman" w:cs="Times New Roman"/>
          <w:sz w:val="36"/>
          <w:szCs w:val="36"/>
        </w:rPr>
        <w:t>and</w:t>
      </w:r>
      <w:r w:rsidR="00930747" w:rsidRPr="00212F49">
        <w:rPr>
          <w:rFonts w:ascii="Times New Roman" w:hAnsi="Times New Roman" w:cs="Times New Roman"/>
          <w:sz w:val="36"/>
          <w:szCs w:val="36"/>
        </w:rPr>
        <w:t>er</w:t>
      </w:r>
      <w:r w:rsidR="005C4100" w:rsidRPr="00212F49">
        <w:rPr>
          <w:rFonts w:ascii="Times New Roman" w:hAnsi="Times New Roman" w:cs="Times New Roman"/>
          <w:sz w:val="36"/>
          <w:szCs w:val="36"/>
        </w:rPr>
        <w:t xml:space="preserve"> tedeschi</w:t>
      </w:r>
      <w:r w:rsidR="005C4100">
        <w:rPr>
          <w:rFonts w:ascii="Times New Roman" w:hAnsi="Times New Roman" w:cs="Times New Roman"/>
          <w:sz w:val="36"/>
          <w:szCs w:val="36"/>
        </w:rPr>
        <w:t>.</w:t>
      </w:r>
    </w:p>
    <w:p w14:paraId="5F4445D8" w14:textId="11CA6173" w:rsidR="00195F1D" w:rsidRPr="00761AF4" w:rsidRDefault="00195F1D" w:rsidP="000A20DC">
      <w:pPr>
        <w:ind w:left="36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Occorre, però, chiedersi se chi agisce con lo strumento della class action</w:t>
      </w:r>
      <w:r w:rsidR="001A4A42">
        <w:rPr>
          <w:rFonts w:ascii="Times New Roman" w:hAnsi="Times New Roman" w:cs="Times New Roman"/>
          <w:sz w:val="36"/>
          <w:szCs w:val="36"/>
        </w:rPr>
        <w:t xml:space="preserve">, anche nelle fasi processuali delle cd adesioni o </w:t>
      </w:r>
      <w:r w:rsidR="001A4A42" w:rsidRPr="00F5790E">
        <w:rPr>
          <w:rFonts w:ascii="Times New Roman" w:hAnsi="Times New Roman" w:cs="Times New Roman"/>
          <w:i/>
          <w:iCs/>
          <w:sz w:val="36"/>
          <w:szCs w:val="36"/>
        </w:rPr>
        <w:t xml:space="preserve">post </w:t>
      </w:r>
      <w:proofErr w:type="spellStart"/>
      <w:r w:rsidR="001A4A42" w:rsidRPr="00F5790E">
        <w:rPr>
          <w:rFonts w:ascii="Times New Roman" w:hAnsi="Times New Roman" w:cs="Times New Roman"/>
          <w:i/>
          <w:iCs/>
          <w:sz w:val="36"/>
          <w:szCs w:val="36"/>
        </w:rPr>
        <w:t>sententiam</w:t>
      </w:r>
      <w:proofErr w:type="spellEnd"/>
      <w:r w:rsidR="001A4A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debba considerarsi </w:t>
      </w:r>
      <w:r w:rsidR="003664A3">
        <w:rPr>
          <w:rFonts w:ascii="Times New Roman" w:hAnsi="Times New Roman" w:cs="Times New Roman"/>
          <w:sz w:val="36"/>
          <w:szCs w:val="36"/>
        </w:rPr>
        <w:t>“parte” del giudizio in senso tecnico, se possa configurarsi la sua legittimazione</w:t>
      </w:r>
      <w:r w:rsidR="000A5D2D">
        <w:rPr>
          <w:rFonts w:ascii="Times New Roman" w:hAnsi="Times New Roman" w:cs="Times New Roman"/>
          <w:sz w:val="36"/>
          <w:szCs w:val="36"/>
        </w:rPr>
        <w:t xml:space="preserve"> attiva</w:t>
      </w:r>
      <w:r w:rsidR="003664A3">
        <w:rPr>
          <w:rFonts w:ascii="Times New Roman" w:hAnsi="Times New Roman" w:cs="Times New Roman"/>
          <w:sz w:val="36"/>
          <w:szCs w:val="36"/>
        </w:rPr>
        <w:t xml:space="preserve"> come semplice cittadino o come fruitore del servizio o utente, considerato che alcune pronunce hanno ritenuto inammissibili azioni proposte contro le amministrazioni pubbliche, ritenendo </w:t>
      </w:r>
      <w:r w:rsidR="003664A3">
        <w:rPr>
          <w:rFonts w:ascii="Times New Roman" w:hAnsi="Times New Roman" w:cs="Times New Roman"/>
          <w:sz w:val="36"/>
          <w:szCs w:val="36"/>
        </w:rPr>
        <w:lastRenderedPageBreak/>
        <w:t>legittimati</w:t>
      </w:r>
      <w:r w:rsidR="00F4533F">
        <w:rPr>
          <w:rFonts w:ascii="Times New Roman" w:hAnsi="Times New Roman" w:cs="Times New Roman"/>
          <w:sz w:val="36"/>
          <w:szCs w:val="36"/>
        </w:rPr>
        <w:t xml:space="preserve"> passivi</w:t>
      </w:r>
      <w:r w:rsidR="003664A3">
        <w:rPr>
          <w:rFonts w:ascii="Times New Roman" w:hAnsi="Times New Roman" w:cs="Times New Roman"/>
          <w:sz w:val="36"/>
          <w:szCs w:val="36"/>
        </w:rPr>
        <w:t xml:space="preserve"> </w:t>
      </w:r>
      <w:r w:rsidR="00F4533F">
        <w:rPr>
          <w:rFonts w:ascii="Times New Roman" w:hAnsi="Times New Roman" w:cs="Times New Roman"/>
          <w:sz w:val="36"/>
          <w:szCs w:val="36"/>
        </w:rPr>
        <w:t xml:space="preserve">solo le </w:t>
      </w:r>
      <w:r w:rsidR="00F4533F" w:rsidRPr="00761AF4">
        <w:rPr>
          <w:rFonts w:ascii="Times New Roman" w:hAnsi="Times New Roman" w:cs="Times New Roman"/>
          <w:i/>
          <w:iCs/>
          <w:sz w:val="36"/>
          <w:szCs w:val="36"/>
        </w:rPr>
        <w:t>cd imprese o concessionari di servizi pubblici</w:t>
      </w:r>
      <w:r w:rsidR="00312BE4" w:rsidRPr="00761AF4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390365" w:rsidRPr="00761A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1C09291C" w14:textId="0D8BB835" w:rsidR="00EC65A7" w:rsidRDefault="00EC65A7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tale prospettiva un ruolo certamente importante viene svolto dagli uffici conciliativi delle Autorità Amministrative Indipendent</w:t>
      </w:r>
      <w:r w:rsidR="00266AA5">
        <w:rPr>
          <w:rFonts w:ascii="Times New Roman" w:hAnsi="Times New Roman" w:cs="Times New Roman"/>
          <w:sz w:val="36"/>
          <w:szCs w:val="36"/>
        </w:rPr>
        <w:t xml:space="preserve">i. </w:t>
      </w:r>
      <w:r w:rsidR="00D06E5F">
        <w:rPr>
          <w:rFonts w:ascii="Times New Roman" w:hAnsi="Times New Roman" w:cs="Times New Roman"/>
          <w:sz w:val="36"/>
          <w:szCs w:val="36"/>
        </w:rPr>
        <w:t xml:space="preserve">Senza pretesa di esaustività si può fare riferimento al ruolo </w:t>
      </w:r>
      <w:proofErr w:type="gramStart"/>
      <w:r w:rsidR="00D06E5F">
        <w:rPr>
          <w:rFonts w:ascii="Times New Roman" w:hAnsi="Times New Roman" w:cs="Times New Roman"/>
          <w:sz w:val="36"/>
          <w:szCs w:val="36"/>
        </w:rPr>
        <w:t>dell’ARERA ,</w:t>
      </w:r>
      <w:proofErr w:type="gramEnd"/>
      <w:r w:rsidR="00D06E5F">
        <w:rPr>
          <w:rFonts w:ascii="Times New Roman" w:hAnsi="Times New Roman" w:cs="Times New Roman"/>
          <w:sz w:val="36"/>
          <w:szCs w:val="36"/>
        </w:rPr>
        <w:t xml:space="preserve"> laddove il Consiglio di Stato</w:t>
      </w:r>
      <w:r w:rsidR="00ED1868">
        <w:rPr>
          <w:rStyle w:val="Rimandonotaapidipagina"/>
          <w:rFonts w:ascii="Times New Roman" w:hAnsi="Times New Roman" w:cs="Times New Roman"/>
          <w:sz w:val="36"/>
          <w:szCs w:val="36"/>
        </w:rPr>
        <w:footnoteReference w:id="10"/>
      </w:r>
      <w:r w:rsidR="007A3C3A">
        <w:rPr>
          <w:rFonts w:ascii="Times New Roman" w:hAnsi="Times New Roman" w:cs="Times New Roman"/>
          <w:sz w:val="36"/>
          <w:szCs w:val="36"/>
        </w:rPr>
        <w:t xml:space="preserve"> </w:t>
      </w:r>
      <w:r w:rsidR="00D06E5F">
        <w:rPr>
          <w:rFonts w:ascii="Times New Roman" w:hAnsi="Times New Roman" w:cs="Times New Roman"/>
          <w:sz w:val="36"/>
          <w:szCs w:val="36"/>
        </w:rPr>
        <w:t xml:space="preserve">con rinvio pregiudiziale alla Corte di Giustizia dello scorso 31 dicembre 2021 </w:t>
      </w:r>
      <w:r w:rsidR="002807CA">
        <w:rPr>
          <w:rFonts w:ascii="Times New Roman" w:hAnsi="Times New Roman" w:cs="Times New Roman"/>
          <w:sz w:val="36"/>
          <w:szCs w:val="36"/>
        </w:rPr>
        <w:t xml:space="preserve">ha posto il problema dei limiti entro cui un’Authority in materia di servizi pubblici possa entrare nei rapporti </w:t>
      </w:r>
      <w:proofErr w:type="spellStart"/>
      <w:r w:rsidR="002807CA">
        <w:rPr>
          <w:rFonts w:ascii="Times New Roman" w:hAnsi="Times New Roman" w:cs="Times New Roman"/>
          <w:sz w:val="36"/>
          <w:szCs w:val="36"/>
        </w:rPr>
        <w:t>interprivatistici</w:t>
      </w:r>
      <w:proofErr w:type="spellEnd"/>
      <w:r w:rsidR="002807CA">
        <w:rPr>
          <w:rFonts w:ascii="Times New Roman" w:hAnsi="Times New Roman" w:cs="Times New Roman"/>
          <w:sz w:val="36"/>
          <w:szCs w:val="36"/>
        </w:rPr>
        <w:t>, al di là della sua funzione regolatoria</w:t>
      </w:r>
      <w:r w:rsidR="006C7E0B">
        <w:rPr>
          <w:rFonts w:ascii="Times New Roman" w:hAnsi="Times New Roman" w:cs="Times New Roman"/>
          <w:sz w:val="36"/>
          <w:szCs w:val="36"/>
        </w:rPr>
        <w:t>, disponendo addirittura la restituzione di somme indebitamente pagate dall’utente del servizio.</w:t>
      </w:r>
    </w:p>
    <w:p w14:paraId="17FB72AE" w14:textId="4062B612" w:rsidR="00761AF4" w:rsidRDefault="00761AF4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Superando le teorie soggettive ed oggettive dei servizi pubblici</w:t>
      </w:r>
      <w:r w:rsidR="00CF16ED">
        <w:rPr>
          <w:rFonts w:ascii="Times New Roman" w:hAnsi="Times New Roman" w:cs="Times New Roman"/>
          <w:sz w:val="36"/>
          <w:szCs w:val="36"/>
        </w:rPr>
        <w:t xml:space="preserve"> ex art.114 TUEL</w:t>
      </w:r>
      <w:r>
        <w:rPr>
          <w:rFonts w:ascii="Times New Roman" w:hAnsi="Times New Roman" w:cs="Times New Roman"/>
          <w:sz w:val="36"/>
          <w:szCs w:val="36"/>
        </w:rPr>
        <w:t>, l</w:t>
      </w:r>
      <w:r w:rsidR="003551B5">
        <w:rPr>
          <w:rFonts w:ascii="Times New Roman" w:hAnsi="Times New Roman" w:cs="Times New Roman"/>
          <w:sz w:val="36"/>
          <w:szCs w:val="36"/>
        </w:rPr>
        <w:t>’elaborazione scientifica</w:t>
      </w:r>
      <w:r>
        <w:rPr>
          <w:rFonts w:ascii="Times New Roman" w:hAnsi="Times New Roman" w:cs="Times New Roman"/>
          <w:sz w:val="36"/>
          <w:szCs w:val="36"/>
        </w:rPr>
        <w:t xml:space="preserve"> sta concentrando la sua analisi sui tre profili essenziali di:</w:t>
      </w:r>
    </w:p>
    <w:p w14:paraId="5DF3D41D" w14:textId="28836F34" w:rsidR="00761AF4" w:rsidRPr="003551B5" w:rsidRDefault="00761AF4" w:rsidP="00761AF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551B5">
        <w:rPr>
          <w:rFonts w:ascii="Times New Roman" w:hAnsi="Times New Roman" w:cs="Times New Roman"/>
          <w:b/>
          <w:bCs/>
          <w:sz w:val="36"/>
          <w:szCs w:val="36"/>
        </w:rPr>
        <w:t>Regolazione.</w:t>
      </w:r>
    </w:p>
    <w:p w14:paraId="554DEF43" w14:textId="15BC4814" w:rsidR="00761AF4" w:rsidRPr="003551B5" w:rsidRDefault="00761AF4" w:rsidP="00761AF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551B5">
        <w:rPr>
          <w:rFonts w:ascii="Times New Roman" w:hAnsi="Times New Roman" w:cs="Times New Roman"/>
          <w:b/>
          <w:bCs/>
          <w:sz w:val="36"/>
          <w:szCs w:val="36"/>
        </w:rPr>
        <w:t>Organizzazione</w:t>
      </w:r>
    </w:p>
    <w:p w14:paraId="7325EC46" w14:textId="79C76C22" w:rsidR="00761AF4" w:rsidRDefault="00761AF4" w:rsidP="00761AF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551B5">
        <w:rPr>
          <w:rFonts w:ascii="Times New Roman" w:hAnsi="Times New Roman" w:cs="Times New Roman"/>
          <w:b/>
          <w:bCs/>
          <w:sz w:val="36"/>
          <w:szCs w:val="36"/>
        </w:rPr>
        <w:t>Gestione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28C56A6" w14:textId="0D4D8503" w:rsidR="00761AF4" w:rsidRDefault="00761AF4" w:rsidP="00761A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 dibattiti si stanno concentrando sulla figura delle società </w:t>
      </w:r>
      <w:r w:rsidRPr="00761AF4">
        <w:rPr>
          <w:rFonts w:ascii="Times New Roman" w:hAnsi="Times New Roman" w:cs="Times New Roman"/>
          <w:i/>
          <w:iCs/>
          <w:sz w:val="36"/>
          <w:szCs w:val="36"/>
        </w:rPr>
        <w:t>in house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in merito al </w:t>
      </w:r>
      <w:r w:rsidRPr="00761AF4">
        <w:rPr>
          <w:rFonts w:ascii="Times New Roman" w:hAnsi="Times New Roman" w:cs="Times New Roman"/>
          <w:sz w:val="36"/>
          <w:szCs w:val="36"/>
        </w:rPr>
        <w:t xml:space="preserve"> cd </w:t>
      </w:r>
      <w:r>
        <w:rPr>
          <w:rFonts w:ascii="Times New Roman" w:hAnsi="Times New Roman" w:cs="Times New Roman"/>
          <w:sz w:val="36"/>
          <w:szCs w:val="36"/>
        </w:rPr>
        <w:t>“</w:t>
      </w:r>
      <w:r w:rsidRPr="00761AF4">
        <w:rPr>
          <w:rFonts w:ascii="Times New Roman" w:hAnsi="Times New Roman" w:cs="Times New Roman"/>
          <w:i/>
          <w:iCs/>
          <w:sz w:val="36"/>
          <w:szCs w:val="36"/>
        </w:rPr>
        <w:t>controllo analogo”</w:t>
      </w:r>
      <w:r>
        <w:rPr>
          <w:rFonts w:ascii="Times New Roman" w:hAnsi="Times New Roman" w:cs="Times New Roman"/>
          <w:sz w:val="36"/>
          <w:szCs w:val="36"/>
        </w:rPr>
        <w:t xml:space="preserve"> ( vedi DL 77/21)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Pr="00761AF4">
        <w:rPr>
          <w:rFonts w:ascii="Times New Roman" w:hAnsi="Times New Roman" w:cs="Times New Roman"/>
          <w:sz w:val="36"/>
          <w:szCs w:val="36"/>
        </w:rPr>
        <w:t>sulle procedure di affidamento</w:t>
      </w:r>
      <w:r>
        <w:rPr>
          <w:rFonts w:ascii="Times New Roman" w:hAnsi="Times New Roman" w:cs="Times New Roman"/>
          <w:sz w:val="36"/>
          <w:szCs w:val="36"/>
        </w:rPr>
        <w:t>, società miste con “socio privato operativo e non solo finanziatore”</w:t>
      </w:r>
      <w:r w:rsidR="003551B5">
        <w:rPr>
          <w:rFonts w:ascii="Times New Roman" w:hAnsi="Times New Roman" w:cs="Times New Roman"/>
          <w:sz w:val="36"/>
          <w:szCs w:val="36"/>
        </w:rPr>
        <w:t xml:space="preserve"> come forma di partenariato pubblico-privato,</w:t>
      </w:r>
      <w:r>
        <w:rPr>
          <w:rFonts w:ascii="Times New Roman" w:hAnsi="Times New Roman" w:cs="Times New Roman"/>
          <w:sz w:val="36"/>
          <w:szCs w:val="36"/>
        </w:rPr>
        <w:t xml:space="preserve"> sulla definizione dell’”</w:t>
      </w:r>
      <w:r w:rsidRPr="003551B5">
        <w:rPr>
          <w:rFonts w:ascii="Times New Roman" w:hAnsi="Times New Roman" w:cs="Times New Roman"/>
          <w:i/>
          <w:iCs/>
          <w:sz w:val="36"/>
          <w:szCs w:val="36"/>
        </w:rPr>
        <w:t>intermodalità</w:t>
      </w:r>
      <w:r>
        <w:rPr>
          <w:rFonts w:ascii="Times New Roman" w:hAnsi="Times New Roman" w:cs="Times New Roman"/>
          <w:sz w:val="36"/>
          <w:szCs w:val="36"/>
        </w:rPr>
        <w:t>” dei servizi di trasporto pubblico, sulla definizione di “</w:t>
      </w:r>
      <w:r w:rsidRPr="003551B5">
        <w:rPr>
          <w:rFonts w:ascii="Times New Roman" w:hAnsi="Times New Roman" w:cs="Times New Roman"/>
          <w:i/>
          <w:iCs/>
          <w:sz w:val="36"/>
          <w:szCs w:val="36"/>
        </w:rPr>
        <w:t>gestore unico</w:t>
      </w:r>
      <w:r>
        <w:rPr>
          <w:rFonts w:ascii="Times New Roman" w:hAnsi="Times New Roman" w:cs="Times New Roman"/>
          <w:sz w:val="36"/>
          <w:szCs w:val="36"/>
        </w:rPr>
        <w:t xml:space="preserve"> d</w:t>
      </w:r>
      <w:r w:rsidRPr="003551B5">
        <w:rPr>
          <w:rFonts w:ascii="Times New Roman" w:hAnsi="Times New Roman" w:cs="Times New Roman"/>
          <w:i/>
          <w:iCs/>
          <w:sz w:val="36"/>
          <w:szCs w:val="36"/>
        </w:rPr>
        <w:t>’ambito</w:t>
      </w:r>
      <w:r>
        <w:rPr>
          <w:rFonts w:ascii="Times New Roman" w:hAnsi="Times New Roman" w:cs="Times New Roman"/>
          <w:sz w:val="36"/>
          <w:szCs w:val="36"/>
        </w:rPr>
        <w:t>”, sul concetto di “</w:t>
      </w:r>
      <w:r w:rsidRPr="00761AF4">
        <w:rPr>
          <w:rFonts w:ascii="Times New Roman" w:hAnsi="Times New Roman" w:cs="Times New Roman"/>
          <w:i/>
          <w:iCs/>
          <w:sz w:val="36"/>
          <w:szCs w:val="36"/>
        </w:rPr>
        <w:t>servizio di rete</w:t>
      </w:r>
      <w:r>
        <w:rPr>
          <w:rFonts w:ascii="Times New Roman" w:hAnsi="Times New Roman" w:cs="Times New Roman"/>
          <w:sz w:val="36"/>
          <w:szCs w:val="36"/>
        </w:rPr>
        <w:t>”,  economie di scala</w:t>
      </w:r>
      <w:r w:rsidR="003551B5">
        <w:rPr>
          <w:rFonts w:ascii="Times New Roman" w:hAnsi="Times New Roman" w:cs="Times New Roman"/>
          <w:sz w:val="36"/>
          <w:szCs w:val="36"/>
        </w:rPr>
        <w:t xml:space="preserve">, cd </w:t>
      </w:r>
      <w:r w:rsidR="003551B5" w:rsidRPr="003551B5">
        <w:rPr>
          <w:rFonts w:ascii="Times New Roman" w:hAnsi="Times New Roman" w:cs="Times New Roman"/>
          <w:i/>
          <w:iCs/>
          <w:sz w:val="36"/>
          <w:szCs w:val="36"/>
        </w:rPr>
        <w:t>Benchmarking</w:t>
      </w:r>
      <w:r w:rsidR="003551B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3551B5" w:rsidRPr="003551B5">
        <w:rPr>
          <w:rFonts w:ascii="Times New Roman" w:hAnsi="Times New Roman" w:cs="Times New Roman"/>
          <w:sz w:val="36"/>
          <w:szCs w:val="36"/>
        </w:rPr>
        <w:t>e monitoraggio dei flussi formativi attraverso il processo in atto di digitaliz</w:t>
      </w:r>
      <w:r w:rsidR="003551B5">
        <w:rPr>
          <w:rFonts w:ascii="Times New Roman" w:hAnsi="Times New Roman" w:cs="Times New Roman"/>
          <w:sz w:val="36"/>
          <w:szCs w:val="36"/>
        </w:rPr>
        <w:t>z</w:t>
      </w:r>
      <w:r w:rsidR="003551B5" w:rsidRPr="003551B5">
        <w:rPr>
          <w:rFonts w:ascii="Times New Roman" w:hAnsi="Times New Roman" w:cs="Times New Roman"/>
          <w:sz w:val="36"/>
          <w:szCs w:val="36"/>
        </w:rPr>
        <w:t>azione</w:t>
      </w:r>
      <w:r>
        <w:rPr>
          <w:rFonts w:ascii="Times New Roman" w:hAnsi="Times New Roman" w:cs="Times New Roman"/>
          <w:sz w:val="36"/>
          <w:szCs w:val="36"/>
        </w:rPr>
        <w:t>. Tutti profili rilevanti</w:t>
      </w:r>
      <w:r w:rsidR="003551B5">
        <w:rPr>
          <w:rFonts w:ascii="Times New Roman" w:hAnsi="Times New Roman" w:cs="Times New Roman"/>
          <w:sz w:val="36"/>
          <w:szCs w:val="36"/>
        </w:rPr>
        <w:t xml:space="preserve">, ma occorre analizzare il tema dal punto di vista </w:t>
      </w:r>
      <w:proofErr w:type="gramStart"/>
      <w:r w:rsidR="003551B5">
        <w:rPr>
          <w:rFonts w:ascii="Times New Roman" w:hAnsi="Times New Roman" w:cs="Times New Roman"/>
          <w:sz w:val="36"/>
          <w:szCs w:val="36"/>
        </w:rPr>
        <w:t>dell’</w:t>
      </w:r>
      <w:proofErr w:type="spellStart"/>
      <w:r w:rsidR="003551B5" w:rsidRPr="003551B5">
        <w:rPr>
          <w:rFonts w:ascii="Times New Roman" w:hAnsi="Times New Roman" w:cs="Times New Roman"/>
          <w:b/>
          <w:bCs/>
          <w:sz w:val="36"/>
          <w:szCs w:val="36"/>
        </w:rPr>
        <w:t>Utente</w:t>
      </w:r>
      <w:r w:rsidR="003551B5">
        <w:rPr>
          <w:rFonts w:ascii="Times New Roman" w:hAnsi="Times New Roman" w:cs="Times New Roman"/>
          <w:sz w:val="36"/>
          <w:szCs w:val="36"/>
        </w:rPr>
        <w:t>,inteso</w:t>
      </w:r>
      <w:proofErr w:type="spellEnd"/>
      <w:proofErr w:type="gramEnd"/>
      <w:r w:rsidR="003551B5">
        <w:rPr>
          <w:rFonts w:ascii="Times New Roman" w:hAnsi="Times New Roman" w:cs="Times New Roman"/>
          <w:sz w:val="36"/>
          <w:szCs w:val="36"/>
        </w:rPr>
        <w:t xml:space="preserve"> come persona e come cittadino. I servizi pubblici rappresentano </w:t>
      </w:r>
      <w:r w:rsidR="003551B5">
        <w:rPr>
          <w:rFonts w:ascii="Times New Roman" w:hAnsi="Times New Roman" w:cs="Times New Roman"/>
          <w:sz w:val="36"/>
          <w:szCs w:val="36"/>
        </w:rPr>
        <w:lastRenderedPageBreak/>
        <w:t>un fattore importante di coesione sociale e territoriale nel rispetto del principio di uguaglianza ex art.2 e 3 Cost.</w:t>
      </w:r>
    </w:p>
    <w:p w14:paraId="71F4752A" w14:textId="157FA24F" w:rsidR="003551B5" w:rsidRDefault="003551B5" w:rsidP="00761A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3551B5">
        <w:rPr>
          <w:rFonts w:ascii="Times New Roman" w:hAnsi="Times New Roman" w:cs="Times New Roman"/>
          <w:sz w:val="36"/>
          <w:szCs w:val="36"/>
        </w:rPr>
        <w:t>La class action, al di l</w:t>
      </w:r>
      <w:r>
        <w:rPr>
          <w:rFonts w:ascii="Times New Roman" w:hAnsi="Times New Roman" w:cs="Times New Roman"/>
          <w:sz w:val="36"/>
          <w:szCs w:val="36"/>
        </w:rPr>
        <w:t>à delle questioni processuali rappresenta uno schema concettuale attraverso cui si può operare la “</w:t>
      </w:r>
      <w:r w:rsidRPr="003551B5">
        <w:rPr>
          <w:rFonts w:ascii="Times New Roman" w:hAnsi="Times New Roman" w:cs="Times New Roman"/>
          <w:b/>
          <w:bCs/>
          <w:sz w:val="36"/>
          <w:szCs w:val="36"/>
        </w:rPr>
        <w:t>cd istituzionalizzazione dell’utenza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”, </w:t>
      </w:r>
      <w:r w:rsidRPr="003551B5">
        <w:rPr>
          <w:rFonts w:ascii="Times New Roman" w:hAnsi="Times New Roman" w:cs="Times New Roman"/>
          <w:sz w:val="36"/>
          <w:szCs w:val="36"/>
        </w:rPr>
        <w:t xml:space="preserve">nel senso di dare centralità ai cittadini che hanno diritto </w:t>
      </w:r>
      <w:r>
        <w:rPr>
          <w:rFonts w:ascii="Times New Roman" w:hAnsi="Times New Roman" w:cs="Times New Roman"/>
          <w:sz w:val="36"/>
          <w:szCs w:val="36"/>
        </w:rPr>
        <w:t xml:space="preserve">ai servizi essenziali, servizi dotati di universalità, accessibili a tutti, con un livello di efficienza che è </w:t>
      </w:r>
      <w:proofErr w:type="gramStart"/>
      <w:r>
        <w:rPr>
          <w:rFonts w:ascii="Times New Roman" w:hAnsi="Times New Roman" w:cs="Times New Roman"/>
          <w:sz w:val="36"/>
          <w:szCs w:val="36"/>
        </w:rPr>
        <w:t>l’ indice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rivelatore del livello di civiltà di un Paese democratico. In tale ottica i “</w:t>
      </w:r>
      <w:r w:rsidRPr="00BF5DF5">
        <w:rPr>
          <w:rFonts w:ascii="Times New Roman" w:hAnsi="Times New Roman" w:cs="Times New Roman"/>
          <w:i/>
          <w:iCs/>
          <w:sz w:val="36"/>
          <w:szCs w:val="36"/>
        </w:rPr>
        <w:t>contratti di servizio</w:t>
      </w:r>
      <w:r>
        <w:rPr>
          <w:rFonts w:ascii="Times New Roman" w:hAnsi="Times New Roman" w:cs="Times New Roman"/>
          <w:sz w:val="36"/>
          <w:szCs w:val="36"/>
        </w:rPr>
        <w:t xml:space="preserve">” e le </w:t>
      </w:r>
      <w:r w:rsidR="00BF5DF5">
        <w:rPr>
          <w:rFonts w:ascii="Times New Roman" w:hAnsi="Times New Roman" w:cs="Times New Roman"/>
          <w:sz w:val="36"/>
          <w:szCs w:val="36"/>
        </w:rPr>
        <w:t>“</w:t>
      </w:r>
      <w:r w:rsidRPr="009E34FD">
        <w:rPr>
          <w:rFonts w:ascii="Times New Roman" w:hAnsi="Times New Roman" w:cs="Times New Roman"/>
          <w:i/>
          <w:iCs/>
          <w:sz w:val="36"/>
          <w:szCs w:val="36"/>
        </w:rPr>
        <w:t>Carte di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E34FD">
        <w:rPr>
          <w:rFonts w:ascii="Times New Roman" w:hAnsi="Times New Roman" w:cs="Times New Roman"/>
          <w:i/>
          <w:iCs/>
          <w:sz w:val="36"/>
          <w:szCs w:val="36"/>
        </w:rPr>
        <w:t>servizio</w:t>
      </w:r>
      <w:r w:rsidR="00BF5DF5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rappresentano l’elemento di raccordo tra</w:t>
      </w:r>
      <w:r w:rsidR="00BF5DF5">
        <w:rPr>
          <w:rFonts w:ascii="Times New Roman" w:hAnsi="Times New Roman" w:cs="Times New Roman"/>
          <w:sz w:val="36"/>
          <w:szCs w:val="36"/>
        </w:rPr>
        <w:t xml:space="preserve"> l’ente affidatario e il gestore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BF5DF5">
        <w:rPr>
          <w:rFonts w:ascii="Times New Roman" w:hAnsi="Times New Roman" w:cs="Times New Roman"/>
          <w:sz w:val="36"/>
          <w:szCs w:val="36"/>
        </w:rPr>
        <w:t>idonei a definire la base giuridica di un’ottimizzazione dei servizi resi alla collettività.</w:t>
      </w:r>
    </w:p>
    <w:p w14:paraId="18B99226" w14:textId="16E308A4" w:rsidR="00BF5DF5" w:rsidRDefault="00BF5DF5" w:rsidP="00761A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Roma, 22 </w:t>
      </w:r>
      <w:proofErr w:type="gramStart"/>
      <w:r>
        <w:rPr>
          <w:rFonts w:ascii="Times New Roman" w:hAnsi="Times New Roman" w:cs="Times New Roman"/>
          <w:sz w:val="36"/>
          <w:szCs w:val="36"/>
        </w:rPr>
        <w:t>Luglio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2022             Avvocato dello Stato</w:t>
      </w:r>
    </w:p>
    <w:p w14:paraId="1ECF4C34" w14:textId="18520F1C" w:rsidR="00BF5DF5" w:rsidRPr="003551B5" w:rsidRDefault="00BF5DF5" w:rsidP="00761AF4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Gaetana Natale</w:t>
      </w:r>
    </w:p>
    <w:p w14:paraId="61FFE52D" w14:textId="77777777" w:rsidR="00FE6539" w:rsidRPr="003551B5" w:rsidRDefault="00FE6539" w:rsidP="000A20D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62622053" w14:textId="0B6270A5" w:rsidR="00E66A5A" w:rsidRPr="003551B5" w:rsidRDefault="00E66A5A" w:rsidP="00794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466389" w14:textId="77777777" w:rsidR="0079434E" w:rsidRPr="003551B5" w:rsidRDefault="0079434E" w:rsidP="0079434E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7"/>
          <w:szCs w:val="27"/>
          <w:shd w:val="clear" w:color="auto" w:fill="FFFFFF"/>
          <w:lang w:eastAsia="it-IT"/>
        </w:rPr>
      </w:pPr>
    </w:p>
    <w:p w14:paraId="7F4322AA" w14:textId="77777777" w:rsidR="0079434E" w:rsidRPr="003551B5" w:rsidRDefault="0079434E" w:rsidP="0079434E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7"/>
          <w:szCs w:val="27"/>
          <w:shd w:val="clear" w:color="auto" w:fill="FFFFFF"/>
          <w:lang w:eastAsia="it-IT"/>
        </w:rPr>
      </w:pPr>
    </w:p>
    <w:p w14:paraId="2BA25A63" w14:textId="77777777" w:rsidR="00212F49" w:rsidRPr="003551B5" w:rsidRDefault="00212F49" w:rsidP="00212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E3F3A"/>
          <w:sz w:val="24"/>
          <w:szCs w:val="24"/>
          <w:lang w:eastAsia="it-IT"/>
        </w:rPr>
      </w:pPr>
    </w:p>
    <w:p w14:paraId="22F31C35" w14:textId="77777777" w:rsidR="009B0FC6" w:rsidRPr="003551B5" w:rsidRDefault="009B0FC6" w:rsidP="009B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E3F3A"/>
          <w:sz w:val="24"/>
          <w:szCs w:val="24"/>
          <w:lang w:eastAsia="it-IT"/>
        </w:rPr>
      </w:pPr>
    </w:p>
    <w:p w14:paraId="28379FE5" w14:textId="77777777" w:rsidR="00212F49" w:rsidRPr="003551B5" w:rsidRDefault="00212F49" w:rsidP="004162BF">
      <w:pPr>
        <w:spacing w:after="0" w:line="4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B1CEEA9" w14:textId="77777777" w:rsidR="006D1ADB" w:rsidRPr="003551B5" w:rsidRDefault="006D1ADB" w:rsidP="006D1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D01337F" w14:textId="77777777" w:rsidR="006D1ADB" w:rsidRPr="003551B5" w:rsidRDefault="006D1ADB" w:rsidP="004162BF">
      <w:pPr>
        <w:spacing w:after="0" w:line="495" w:lineRule="atLeast"/>
        <w:rPr>
          <w:rFonts w:ascii="Helvetica Neue" w:eastAsia="Times New Roman" w:hAnsi="Helvetica Neue" w:cs="Times New Roman"/>
          <w:b/>
          <w:bCs/>
          <w:color w:val="000000"/>
          <w:sz w:val="36"/>
          <w:szCs w:val="36"/>
          <w:lang w:eastAsia="it-IT"/>
        </w:rPr>
      </w:pPr>
    </w:p>
    <w:p w14:paraId="017FC08A" w14:textId="77777777" w:rsidR="004162BF" w:rsidRPr="003551B5" w:rsidRDefault="004162BF" w:rsidP="004162BF">
      <w:pPr>
        <w:spacing w:after="0" w:line="495" w:lineRule="atLeast"/>
        <w:rPr>
          <w:rFonts w:ascii="Helvetica Neue" w:eastAsia="Times New Roman" w:hAnsi="Helvetica Neue" w:cs="Times New Roman"/>
          <w:b/>
          <w:bCs/>
          <w:color w:val="000000"/>
          <w:sz w:val="36"/>
          <w:szCs w:val="36"/>
          <w:lang w:eastAsia="it-IT"/>
        </w:rPr>
      </w:pPr>
    </w:p>
    <w:p w14:paraId="7D2772A9" w14:textId="77777777" w:rsidR="004162BF" w:rsidRPr="003551B5" w:rsidRDefault="004162BF" w:rsidP="0079434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sectPr w:rsidR="004162BF" w:rsidRPr="00355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8655" w14:textId="77777777" w:rsidR="00B229EC" w:rsidRDefault="00B229EC" w:rsidP="00ED1868">
      <w:pPr>
        <w:spacing w:after="0" w:line="240" w:lineRule="auto"/>
      </w:pPr>
      <w:r>
        <w:separator/>
      </w:r>
    </w:p>
  </w:endnote>
  <w:endnote w:type="continuationSeparator" w:id="0">
    <w:p w14:paraId="1E2ECCE1" w14:textId="77777777" w:rsidR="00B229EC" w:rsidRDefault="00B229EC" w:rsidP="00ED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BD85" w14:textId="77777777" w:rsidR="00B229EC" w:rsidRDefault="00B229EC" w:rsidP="00ED1868">
      <w:pPr>
        <w:spacing w:after="0" w:line="240" w:lineRule="auto"/>
      </w:pPr>
      <w:r>
        <w:separator/>
      </w:r>
    </w:p>
  </w:footnote>
  <w:footnote w:type="continuationSeparator" w:id="0">
    <w:p w14:paraId="331298FF" w14:textId="77777777" w:rsidR="00B229EC" w:rsidRDefault="00B229EC" w:rsidP="00ED1868">
      <w:pPr>
        <w:spacing w:after="0" w:line="240" w:lineRule="auto"/>
      </w:pPr>
      <w:r>
        <w:continuationSeparator/>
      </w:r>
    </w:p>
  </w:footnote>
  <w:footnote w:id="1">
    <w:p w14:paraId="7AE5651C" w14:textId="571EDF05" w:rsidR="008E387C" w:rsidRPr="009B0FC6" w:rsidRDefault="008E387C" w:rsidP="009B0FC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9B0FC6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9B0FC6">
        <w:rPr>
          <w:rFonts w:ascii="Times New Roman" w:hAnsi="Times New Roman" w:cs="Times New Roman"/>
          <w:sz w:val="24"/>
          <w:szCs w:val="24"/>
        </w:rPr>
        <w:t xml:space="preserve"> Sul tema si sono s</w:t>
      </w:r>
      <w:r>
        <w:rPr>
          <w:rFonts w:ascii="Times New Roman" w:hAnsi="Times New Roman" w:cs="Times New Roman"/>
          <w:sz w:val="24"/>
          <w:szCs w:val="24"/>
        </w:rPr>
        <w:t>usseguiti molteplici interventi tra i quali:</w:t>
      </w:r>
      <w:r w:rsidRPr="009B0FC6">
        <w:rPr>
          <w:rFonts w:ascii="Times New Roman" w:hAnsi="Times New Roman" w:cs="Times New Roman"/>
          <w:sz w:val="24"/>
          <w:szCs w:val="24"/>
        </w:rPr>
        <w:t xml:space="preserve"> </w:t>
      </w:r>
      <w:r w:rsidRPr="009B0FC6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U. COREA, ML GUARNIERI, </w:t>
      </w:r>
      <w:r w:rsidRPr="009B0FC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it-IT"/>
        </w:rPr>
        <w:t>“La nuova Class action al debutto: uno sguardo d’insieme”</w:t>
      </w:r>
      <w:r w:rsidRPr="009B0FC6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9B0FC6">
        <w:rPr>
          <w:rStyle w:val="text-muted"/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in </w:t>
      </w:r>
      <w:r w:rsidRPr="009B0FC6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Judicium.it; </w:t>
      </w:r>
      <w:r w:rsidRPr="009B0FC6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E. SILVESTRI</w:t>
      </w:r>
      <w:r w:rsidRPr="009B0FC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9B0FC6">
        <w:rPr>
          <w:rStyle w:val="apple-converted-space"/>
          <w:rFonts w:ascii="Times New Roman" w:hAnsi="Times New Roman" w:cs="Times New Roman"/>
          <w:i/>
          <w:sz w:val="24"/>
          <w:szCs w:val="24"/>
        </w:rPr>
        <w:t>“</w:t>
      </w:r>
      <w:r w:rsidRPr="009B0FC6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Nuovi orizzonti per l’azione di classe?”</w:t>
      </w:r>
      <w:r w:rsidRPr="009B0FC6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In </w:t>
      </w:r>
      <w:r w:rsidRPr="009B0FC6">
        <w:rPr>
          <w:rFonts w:ascii="Times New Roman" w:eastAsia="Times New Roman" w:hAnsi="Times New Roman" w:cs="Times New Roman"/>
          <w:kern w:val="36"/>
          <w:sz w:val="24"/>
          <w:szCs w:val="24"/>
        </w:rPr>
        <w:t>giustiziainsieme.it</w:t>
      </w:r>
    </w:p>
    <w:p w14:paraId="35CDCB92" w14:textId="5D4BDB8F" w:rsidR="008E387C" w:rsidRDefault="008E387C">
      <w:pPr>
        <w:pStyle w:val="Testonotaapidipagina"/>
      </w:pPr>
    </w:p>
  </w:footnote>
  <w:footnote w:id="2">
    <w:p w14:paraId="1F5AE4C7" w14:textId="71FAC752" w:rsidR="008E387C" w:rsidRPr="00D46D51" w:rsidRDefault="008E387C">
      <w:pPr>
        <w:pStyle w:val="Testonotaapidipagina"/>
        <w:rPr>
          <w:rFonts w:ascii="Times New Roman" w:hAnsi="Times New Roman" w:cs="Times New Roman"/>
        </w:rPr>
      </w:pPr>
      <w:r w:rsidRPr="00D46D51">
        <w:rPr>
          <w:rStyle w:val="Rimandonotaapidipagina"/>
          <w:rFonts w:ascii="Times New Roman" w:hAnsi="Times New Roman" w:cs="Times New Roman"/>
        </w:rPr>
        <w:footnoteRef/>
      </w:r>
      <w:r w:rsidRPr="00D46D51">
        <w:rPr>
          <w:rFonts w:ascii="Times New Roman" w:hAnsi="Times New Roman" w:cs="Times New Roman"/>
        </w:rPr>
        <w:t xml:space="preserve"> vedi </w:t>
      </w:r>
      <w:r>
        <w:rPr>
          <w:rFonts w:ascii="Times New Roman" w:hAnsi="Times New Roman" w:cs="Times New Roman"/>
        </w:rPr>
        <w:t>CAPPELLETTI</w:t>
      </w:r>
      <w:r w:rsidRPr="00D46D51">
        <w:rPr>
          <w:rFonts w:ascii="Times New Roman" w:hAnsi="Times New Roman" w:cs="Times New Roman"/>
        </w:rPr>
        <w:t xml:space="preserve">, in Cappelletti and </w:t>
      </w:r>
      <w:proofErr w:type="spellStart"/>
      <w:r w:rsidRPr="00D46D51">
        <w:rPr>
          <w:rFonts w:ascii="Times New Roman" w:hAnsi="Times New Roman" w:cs="Times New Roman"/>
        </w:rPr>
        <w:t>Jolowicz</w:t>
      </w:r>
      <w:proofErr w:type="spellEnd"/>
      <w:r w:rsidRPr="00D46D51">
        <w:rPr>
          <w:rFonts w:ascii="Times New Roman" w:hAnsi="Times New Roman" w:cs="Times New Roman"/>
        </w:rPr>
        <w:t xml:space="preserve"> 1975:106,107 n.,108</w:t>
      </w:r>
      <w:r w:rsidRPr="00D46D51">
        <w:rPr>
          <w:rFonts w:ascii="Times New Roman" w:hAnsi="Times New Roman" w:cs="Times New Roman"/>
          <w:color w:val="FF0000"/>
        </w:rPr>
        <w:t xml:space="preserve"> </w:t>
      </w:r>
    </w:p>
  </w:footnote>
  <w:footnote w:id="3">
    <w:p w14:paraId="3DE9123D" w14:textId="2C067214" w:rsidR="008E387C" w:rsidRPr="00D46D51" w:rsidRDefault="008E387C">
      <w:pPr>
        <w:pStyle w:val="Testonotaapidipagina"/>
        <w:rPr>
          <w:rFonts w:ascii="Times New Roman" w:hAnsi="Times New Roman" w:cs="Times New Roman"/>
        </w:rPr>
      </w:pPr>
      <w:r w:rsidRPr="00D46D51">
        <w:rPr>
          <w:rStyle w:val="Rimandonotaapidipagina"/>
          <w:rFonts w:ascii="Times New Roman" w:hAnsi="Times New Roman" w:cs="Times New Roman"/>
        </w:rPr>
        <w:footnoteRef/>
      </w:r>
      <w:r w:rsidRPr="00D46D51">
        <w:rPr>
          <w:rFonts w:ascii="Times New Roman" w:hAnsi="Times New Roman" w:cs="Times New Roman"/>
        </w:rPr>
        <w:t xml:space="preserve"> </w:t>
      </w:r>
      <w:proofErr w:type="spellStart"/>
      <w:r w:rsidRPr="00D46D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D46D51">
        <w:rPr>
          <w:rFonts w:ascii="Times New Roman" w:hAnsi="Times New Roman" w:cs="Times New Roman"/>
        </w:rPr>
        <w:t>lgs</w:t>
      </w:r>
      <w:proofErr w:type="spellEnd"/>
      <w:r w:rsidRPr="00D46D51">
        <w:rPr>
          <w:rFonts w:ascii="Times New Roman" w:hAnsi="Times New Roman" w:cs="Times New Roman"/>
        </w:rPr>
        <w:t xml:space="preserve"> 20 dicembre 2009 n.198</w:t>
      </w:r>
    </w:p>
  </w:footnote>
  <w:footnote w:id="4">
    <w:p w14:paraId="2329968C" w14:textId="024A5DE6" w:rsidR="008E387C" w:rsidRPr="006D1ADB" w:rsidRDefault="008E387C" w:rsidP="006D1ADB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610236">
        <w:rPr>
          <w:rFonts w:ascii="Times New Roman" w:hAnsi="Times New Roman" w:cs="Times New Roman"/>
          <w:sz w:val="24"/>
          <w:szCs w:val="24"/>
        </w:rPr>
        <w:t xml:space="preserve">A. CARRATTA, </w:t>
      </w:r>
      <w:r w:rsidRPr="00610236">
        <w:rPr>
          <w:rFonts w:ascii="Times New Roman" w:hAnsi="Times New Roman" w:cs="Times New Roman"/>
          <w:i/>
          <w:sz w:val="24"/>
          <w:szCs w:val="24"/>
        </w:rPr>
        <w:t>“L’abilitazione all’esercizio dell’azione collettiva”;</w:t>
      </w:r>
      <w:r w:rsidRPr="00610236">
        <w:rPr>
          <w:rFonts w:ascii="Times New Roman" w:hAnsi="Times New Roman" w:cs="Times New Roman"/>
          <w:sz w:val="24"/>
          <w:szCs w:val="24"/>
        </w:rPr>
        <w:t xml:space="preserve"> A. CARRATTA, </w:t>
      </w:r>
      <w:r w:rsidRPr="00610236">
        <w:rPr>
          <w:rFonts w:ascii="Times New Roman" w:hAnsi="Times New Roman" w:cs="Times New Roman"/>
          <w:i/>
          <w:sz w:val="24"/>
          <w:szCs w:val="24"/>
        </w:rPr>
        <w:t>“L’azione collettiva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610236">
        <w:rPr>
          <w:rFonts w:ascii="Times New Roman" w:hAnsi="Times New Roman" w:cs="Times New Roman"/>
          <w:sz w:val="24"/>
          <w:szCs w:val="24"/>
        </w:rPr>
        <w:t xml:space="preserve">, </w:t>
      </w:r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A. </w:t>
      </w:r>
      <w:r w:rsidRPr="00610236">
        <w:rPr>
          <w:rFonts w:ascii="Times New Roman" w:hAnsi="Times New Roman" w:cs="Times New Roman"/>
          <w:sz w:val="24"/>
          <w:szCs w:val="24"/>
        </w:rPr>
        <w:t>CARRATTA</w:t>
      </w:r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“</w:t>
      </w:r>
      <w:r w:rsidRPr="00610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La </w:t>
      </w:r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class action</w:t>
      </w:r>
      <w:r w:rsidRPr="00610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riformata – I nuovi procedimenti collettivi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”</w:t>
      </w:r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 in</w:t>
      </w:r>
      <w:r w:rsidRPr="00610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 Giur. </w:t>
      </w:r>
      <w:proofErr w:type="spellStart"/>
      <w:r w:rsidRPr="00610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it</w:t>
      </w:r>
      <w:proofErr w:type="spellEnd"/>
      <w:r w:rsidRPr="00610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2019, 10, p. 2297 </w:t>
      </w:r>
      <w:proofErr w:type="spellStart"/>
      <w:r w:rsidRPr="00610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ss</w:t>
      </w:r>
      <w:proofErr w:type="spellEnd"/>
    </w:p>
    <w:p w14:paraId="2B30070B" w14:textId="7452B819" w:rsidR="008E387C" w:rsidRDefault="008E387C" w:rsidP="00D46D51">
      <w:pPr>
        <w:pStyle w:val="NormaleWeb"/>
      </w:pPr>
    </w:p>
    <w:p w14:paraId="00ECB8F7" w14:textId="7A67C572" w:rsidR="008E387C" w:rsidRDefault="008E387C">
      <w:pPr>
        <w:pStyle w:val="Testonotaapidipagina"/>
      </w:pPr>
    </w:p>
  </w:footnote>
  <w:footnote w:id="5">
    <w:p w14:paraId="224BF2E1" w14:textId="27977D72" w:rsidR="008E387C" w:rsidRPr="00DB4FA8" w:rsidRDefault="008E387C" w:rsidP="00DB4FA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FA8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DB4FA8">
        <w:rPr>
          <w:rFonts w:ascii="Times New Roman" w:hAnsi="Times New Roman" w:cs="Times New Roman"/>
          <w:sz w:val="24"/>
          <w:szCs w:val="24"/>
        </w:rPr>
        <w:t xml:space="preserve"> </w:t>
      </w:r>
      <w:r w:rsidR="00DB4FA8">
        <w:rPr>
          <w:rFonts w:ascii="Times New Roman" w:hAnsi="Times New Roman" w:cs="Times New Roman"/>
          <w:sz w:val="24"/>
          <w:szCs w:val="24"/>
        </w:rPr>
        <w:t>NATALE,</w:t>
      </w:r>
      <w:r w:rsidR="00DB4FA8" w:rsidRPr="00DB4F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FA8" w:rsidRPr="00DB4F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" Il Terzo Settore: un nuovo esempio di polimorfismo della soggettività giuridica "</w:t>
      </w:r>
      <w:r w:rsidR="00DB4F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DB4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Rassegna Avvocatura Generale dello Stato 2020.</w:t>
      </w:r>
    </w:p>
  </w:footnote>
  <w:footnote w:id="6">
    <w:p w14:paraId="400CBCD9" w14:textId="0D976B71" w:rsidR="008E387C" w:rsidRDefault="008E387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0236">
        <w:rPr>
          <w:rFonts w:ascii="Times New Roman" w:hAnsi="Times New Roman" w:cs="Times New Roman"/>
        </w:rPr>
        <w:t xml:space="preserve">si pensi a </w:t>
      </w:r>
      <w:r w:rsidRPr="00610236">
        <w:rPr>
          <w:rFonts w:ascii="Times New Roman" w:hAnsi="Times New Roman" w:cs="Times New Roman"/>
          <w:bCs/>
        </w:rPr>
        <w:t>RESCIGNO</w:t>
      </w:r>
      <w:r w:rsidRPr="00610236">
        <w:rPr>
          <w:rFonts w:ascii="Times New Roman" w:hAnsi="Times New Roman" w:cs="Times New Roman"/>
        </w:rPr>
        <w:t xml:space="preserve"> ”</w:t>
      </w:r>
      <w:r w:rsidRPr="00610236">
        <w:rPr>
          <w:rFonts w:ascii="Times New Roman" w:hAnsi="Times New Roman" w:cs="Times New Roman"/>
          <w:i/>
          <w:iCs/>
        </w:rPr>
        <w:t xml:space="preserve">Le formazioni sociali intermedie” </w:t>
      </w:r>
      <w:r w:rsidRPr="00610236">
        <w:rPr>
          <w:rFonts w:ascii="Times New Roman" w:hAnsi="Times New Roman" w:cs="Times New Roman"/>
        </w:rPr>
        <w:t>in Riv.Dir.Civ,1988,Ip.306</w:t>
      </w:r>
    </w:p>
  </w:footnote>
  <w:footnote w:id="7">
    <w:p w14:paraId="688C08C4" w14:textId="72AE5083" w:rsidR="008E387C" w:rsidRPr="008E387C" w:rsidRDefault="008E387C">
      <w:pPr>
        <w:pStyle w:val="Testonotaapidipagina"/>
        <w:rPr>
          <w:rFonts w:ascii="Times New Roman" w:hAnsi="Times New Roman" w:cs="Times New Roman"/>
        </w:rPr>
      </w:pPr>
      <w:r w:rsidRPr="008E387C">
        <w:rPr>
          <w:rStyle w:val="Rimandonotaapidipagina"/>
          <w:rFonts w:ascii="Times New Roman" w:hAnsi="Times New Roman" w:cs="Times New Roman"/>
        </w:rPr>
        <w:footnoteRef/>
      </w:r>
      <w:r w:rsidRPr="008E387C">
        <w:rPr>
          <w:rFonts w:ascii="Times New Roman" w:hAnsi="Times New Roman" w:cs="Times New Roman"/>
        </w:rPr>
        <w:t xml:space="preserve"> per la cui redazione si veda in particolare il DM Lavoro 4 luglio 2019, pubblicato nella GU n.186 del 9 agosto 2019</w:t>
      </w:r>
    </w:p>
  </w:footnote>
  <w:footnote w:id="8">
    <w:p w14:paraId="6F843ED1" w14:textId="4FEEA397" w:rsidR="008E387C" w:rsidRDefault="008E387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4A6F30">
          <w:rPr>
            <w:rStyle w:val="Collegamentoipertestuale"/>
          </w:rPr>
          <w:t>https://www.governo.it/sites/governo.it/files/77938-10029.pdf</w:t>
        </w:r>
      </w:hyperlink>
      <w:r>
        <w:t xml:space="preserve"> </w:t>
      </w:r>
    </w:p>
  </w:footnote>
  <w:footnote w:id="9">
    <w:p w14:paraId="198C6F91" w14:textId="24EF7D3A" w:rsidR="008E387C" w:rsidRPr="00DB4FA8" w:rsidRDefault="008E387C" w:rsidP="00761A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4FA8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DB4FA8">
        <w:rPr>
          <w:rFonts w:ascii="Times New Roman" w:hAnsi="Times New Roman" w:cs="Times New Roman"/>
          <w:sz w:val="24"/>
          <w:szCs w:val="24"/>
        </w:rPr>
        <w:t xml:space="preserve"> </w:t>
      </w:r>
      <w:r w:rsidR="00DB4FA8">
        <w:rPr>
          <w:rFonts w:ascii="Times New Roman" w:hAnsi="Times New Roman" w:cs="Times New Roman"/>
          <w:sz w:val="24"/>
          <w:szCs w:val="24"/>
        </w:rPr>
        <w:t xml:space="preserve">Un’altra class action portata avanti dal Codacons contro il Comune di Roma ha riguardato le buche presenti sulle strade ma il Tribunale di Roma ne ha dichiarato l’inammissibilità: </w:t>
      </w:r>
      <w:r w:rsidR="00DB4FA8" w:rsidRPr="00DB4FA8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>Tribunale di Roma, II sezione, n. 3685/2019</w:t>
      </w:r>
      <w:r w:rsidR="00DB4FA8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. Il tema delle class action è stato oggetto di molti interventi giurisdizionali, si riportano: </w:t>
      </w:r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Cons. Stato, </w:t>
      </w:r>
      <w:proofErr w:type="spellStart"/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sez.III</w:t>
      </w:r>
      <w:proofErr w:type="spellEnd"/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21/03/2022 n.2044</w:t>
      </w:r>
      <w:r w:rsidRPr="00DB4F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Cons. Stato, sez Consultiva Atti Normativi, </w:t>
      </w:r>
      <w:r w:rsidRPr="00DB4FA8">
        <w:rPr>
          <w:rFonts w:ascii="Times New Roman" w:hAnsi="Times New Roman" w:cs="Times New Roman"/>
          <w:sz w:val="24"/>
          <w:szCs w:val="24"/>
        </w:rPr>
        <w:t xml:space="preserve">Numero 01458/2021 e data 20/09/2021 Spedizione.  </w:t>
      </w:r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Cassazione civile sez. I, 15/05/2019, n.12997; T.A.R. Firenze, (Toscana) sez. I, 22/05/2018, n.712</w:t>
      </w:r>
      <w:r w:rsidRPr="00DB4F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Cassazione civile sez. III, 23/10/2018, n.26725; Tribunale Venezia sez. III, 25/05/2017</w:t>
      </w:r>
      <w:r w:rsidRPr="00DB4F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4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Tribunale Roma sez. II, 26/05/2017, n.10686; </w:t>
      </w:r>
      <w:r w:rsidRPr="00DB4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T.A.R. Roma, (Lazio) sez. III, 05/05/2016, n.5190; </w:t>
      </w:r>
      <w:r w:rsidRPr="00DB4FA8"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  <w:t>Tribunale</w:t>
      </w:r>
      <w:r w:rsidRPr="00DB4FA8">
        <w:rPr>
          <w:rStyle w:val="Enfasigrassetto"/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r w:rsidRPr="00DB4FA8"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  <w:t>Roma, Sentenza n. 9381/2016;</w:t>
      </w:r>
      <w:r w:rsidRPr="00DB4FA8">
        <w:rPr>
          <w:rStyle w:val="Enfasigrassetto"/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DB4FA8">
        <w:rPr>
          <w:rFonts w:ascii="Times New Roman" w:hAnsi="Times New Roman" w:cs="Times New Roman"/>
          <w:sz w:val="24"/>
          <w:szCs w:val="24"/>
        </w:rPr>
        <w:t xml:space="preserve">Vari sono poi stati le note a sentenze da parte della dottrina. Senza scopo di esaustività se ne citano alcune: </w:t>
      </w:r>
      <w:r w:rsidRPr="00DB4FA8">
        <w:rPr>
          <w:rFonts w:ascii="Times New Roman" w:eastAsia="Times New Roman" w:hAnsi="Times New Roman" w:cs="Times New Roman"/>
          <w:i/>
          <w:sz w:val="24"/>
          <w:szCs w:val="24"/>
        </w:rPr>
        <w:t xml:space="preserve">“Class Action, risarcibilità del danno non patrimoniale da inadempimento e disservizi nel trasporto ferroviario.” </w:t>
      </w:r>
      <w:r w:rsidRPr="00DB4FA8">
        <w:rPr>
          <w:rFonts w:ascii="Times New Roman" w:eastAsia="Times New Roman" w:hAnsi="Times New Roman" w:cs="Times New Roman"/>
          <w:sz w:val="24"/>
          <w:szCs w:val="24"/>
        </w:rPr>
        <w:t xml:space="preserve">Nota a: Cassazione civile , 31 maggio 2019, n.14886, sez. III in Responsabilità Civile e Previdenza, fasc.1, 2020, pag. 0238C; A. GIUSSANI, A. PEPE </w:t>
      </w:r>
      <w:r w:rsidRPr="00DB4FA8">
        <w:rPr>
          <w:rFonts w:ascii="Times New Roman" w:eastAsia="Times New Roman" w:hAnsi="Times New Roman" w:cs="Times New Roman"/>
          <w:i/>
          <w:sz w:val="24"/>
          <w:szCs w:val="24"/>
        </w:rPr>
        <w:t>“Class actions e finanziamento delle liti”</w:t>
      </w:r>
      <w:r w:rsidRPr="00DB4FA8">
        <w:rPr>
          <w:rFonts w:ascii="Times New Roman" w:eastAsia="Times New Roman" w:hAnsi="Times New Roman" w:cs="Times New Roman"/>
          <w:sz w:val="24"/>
          <w:szCs w:val="24"/>
        </w:rPr>
        <w:t xml:space="preserve"> in Rivista Trimestrale di Diritto e Procedura Civile, fasc.2, 1 GIUGNO 2022, pag. 303; </w:t>
      </w:r>
      <w:r w:rsidRPr="00DB4FA8">
        <w:rPr>
          <w:rFonts w:ascii="Times New Roman" w:hAnsi="Times New Roman" w:cs="Times New Roman"/>
          <w:sz w:val="24"/>
          <w:szCs w:val="24"/>
        </w:rPr>
        <w:t xml:space="preserve">E. STRACQUALURSI, </w:t>
      </w:r>
      <w:r w:rsidRPr="00DB4FA8">
        <w:rPr>
          <w:rFonts w:ascii="Times New Roman" w:hAnsi="Times New Roman" w:cs="Times New Roman"/>
          <w:i/>
          <w:sz w:val="24"/>
          <w:szCs w:val="24"/>
        </w:rPr>
        <w:t>“Azione di classe: analisi della prospettiva della Corte di Cassazione in tema di omogeneità”</w:t>
      </w:r>
      <w:r w:rsidRPr="00DB4FA8">
        <w:rPr>
          <w:rFonts w:ascii="Times New Roman" w:hAnsi="Times New Roman" w:cs="Times New Roman"/>
          <w:sz w:val="24"/>
          <w:szCs w:val="24"/>
        </w:rPr>
        <w:t xml:space="preserve"> Nota a Cassazione civile sez. III, 31/05/2019, n.14886 in </w:t>
      </w:r>
      <w:r w:rsidRPr="00DB4FA8">
        <w:rPr>
          <w:rFonts w:ascii="Times New Roman" w:hAnsi="Times New Roman" w:cs="Times New Roman"/>
          <w:i/>
          <w:iCs/>
          <w:sz w:val="24"/>
          <w:szCs w:val="24"/>
        </w:rPr>
        <w:t>GiustiziaCivile.com , 23 GENNAIO 2020</w:t>
      </w:r>
      <w:r w:rsidRPr="00DB4FA8">
        <w:rPr>
          <w:rFonts w:ascii="Times New Roman" w:hAnsi="Times New Roman" w:cs="Times New Roman"/>
          <w:sz w:val="24"/>
          <w:szCs w:val="24"/>
        </w:rPr>
        <w:t xml:space="preserve">; A. SCARPA, “Inammissibilità dell'azione di classe e ricorso per cassazione,” Nota a Cassazione civile sez. un., 01/02/2017, n.2610 in  </w:t>
      </w:r>
      <w:proofErr w:type="spellStart"/>
      <w:r w:rsidRPr="00DB4FA8">
        <w:rPr>
          <w:rFonts w:ascii="Times New Roman" w:hAnsi="Times New Roman" w:cs="Times New Roman"/>
          <w:i/>
          <w:iCs/>
          <w:sz w:val="24"/>
          <w:szCs w:val="24"/>
        </w:rPr>
        <w:t>Ilprocessocivile.i</w:t>
      </w:r>
      <w:proofErr w:type="spellEnd"/>
      <w:r w:rsidRPr="00DB4FA8">
        <w:rPr>
          <w:rFonts w:ascii="Times New Roman" w:hAnsi="Times New Roman" w:cs="Times New Roman"/>
          <w:i/>
          <w:iCs/>
          <w:sz w:val="24"/>
          <w:szCs w:val="24"/>
        </w:rPr>
        <w:t>, 6 MARZO 2017</w:t>
      </w:r>
    </w:p>
  </w:footnote>
  <w:footnote w:id="10">
    <w:p w14:paraId="6BD1B9F8" w14:textId="7658FF78" w:rsidR="008E387C" w:rsidRPr="00212F49" w:rsidRDefault="008E387C">
      <w:pPr>
        <w:pStyle w:val="Testonotaapidipagina"/>
        <w:rPr>
          <w:rFonts w:ascii="Times New Roman" w:hAnsi="Times New Roman" w:cs="Times New Roman"/>
        </w:rPr>
      </w:pPr>
      <w:r w:rsidRPr="00212F49">
        <w:rPr>
          <w:rStyle w:val="Rimandonotaapidipagina"/>
          <w:rFonts w:ascii="Times New Roman" w:hAnsi="Times New Roman" w:cs="Times New Roman"/>
        </w:rPr>
        <w:footnoteRef/>
      </w:r>
      <w:r w:rsidRPr="00212F49">
        <w:rPr>
          <w:rFonts w:ascii="Times New Roman" w:hAnsi="Times New Roman" w:cs="Times New Roman"/>
        </w:rPr>
        <w:t xml:space="preserve"> Cons. Stato, sez VI, ordinanza 31 dicembre 2021, n.8737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E0D"/>
    <w:multiLevelType w:val="hybridMultilevel"/>
    <w:tmpl w:val="C3D2DC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65A"/>
    <w:multiLevelType w:val="hybridMultilevel"/>
    <w:tmpl w:val="A608F826"/>
    <w:lvl w:ilvl="0" w:tplc="7E1C58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5344"/>
    <w:multiLevelType w:val="hybridMultilevel"/>
    <w:tmpl w:val="E7F09D42"/>
    <w:lvl w:ilvl="0" w:tplc="5496832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E3F3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602F"/>
    <w:multiLevelType w:val="hybridMultilevel"/>
    <w:tmpl w:val="96C20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EF3"/>
    <w:multiLevelType w:val="hybridMultilevel"/>
    <w:tmpl w:val="524CA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2967"/>
    <w:multiLevelType w:val="hybridMultilevel"/>
    <w:tmpl w:val="42B8F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BD2"/>
    <w:rsid w:val="00010C1F"/>
    <w:rsid w:val="00012486"/>
    <w:rsid w:val="00017413"/>
    <w:rsid w:val="000262FE"/>
    <w:rsid w:val="00033878"/>
    <w:rsid w:val="00035B26"/>
    <w:rsid w:val="0005594D"/>
    <w:rsid w:val="00071699"/>
    <w:rsid w:val="000824FE"/>
    <w:rsid w:val="00083DBB"/>
    <w:rsid w:val="00091067"/>
    <w:rsid w:val="000A20DC"/>
    <w:rsid w:val="000A2BA5"/>
    <w:rsid w:val="000A5D2D"/>
    <w:rsid w:val="000B3BFA"/>
    <w:rsid w:val="000C1422"/>
    <w:rsid w:val="000C7C9C"/>
    <w:rsid w:val="000D0D23"/>
    <w:rsid w:val="000D5E15"/>
    <w:rsid w:val="00115197"/>
    <w:rsid w:val="0012287B"/>
    <w:rsid w:val="00124DD6"/>
    <w:rsid w:val="001254BC"/>
    <w:rsid w:val="00134D6C"/>
    <w:rsid w:val="001352B1"/>
    <w:rsid w:val="00135667"/>
    <w:rsid w:val="001562D4"/>
    <w:rsid w:val="00160CF0"/>
    <w:rsid w:val="00177540"/>
    <w:rsid w:val="00195F1D"/>
    <w:rsid w:val="001A10B7"/>
    <w:rsid w:val="001A3AF3"/>
    <w:rsid w:val="001A4A42"/>
    <w:rsid w:val="001A4E11"/>
    <w:rsid w:val="001B2CF1"/>
    <w:rsid w:val="001D1756"/>
    <w:rsid w:val="001E19E7"/>
    <w:rsid w:val="001E7C04"/>
    <w:rsid w:val="00206CCF"/>
    <w:rsid w:val="002076F5"/>
    <w:rsid w:val="00212F49"/>
    <w:rsid w:val="00213A1E"/>
    <w:rsid w:val="0021471E"/>
    <w:rsid w:val="00224C8B"/>
    <w:rsid w:val="002347BB"/>
    <w:rsid w:val="002474F3"/>
    <w:rsid w:val="002525BF"/>
    <w:rsid w:val="002632B0"/>
    <w:rsid w:val="00266AA5"/>
    <w:rsid w:val="002675B2"/>
    <w:rsid w:val="00276A2B"/>
    <w:rsid w:val="002807CA"/>
    <w:rsid w:val="002A7DBE"/>
    <w:rsid w:val="002B2A84"/>
    <w:rsid w:val="002F1527"/>
    <w:rsid w:val="002F17F5"/>
    <w:rsid w:val="003074E2"/>
    <w:rsid w:val="00312BE4"/>
    <w:rsid w:val="00333573"/>
    <w:rsid w:val="00335315"/>
    <w:rsid w:val="00336B20"/>
    <w:rsid w:val="003468D0"/>
    <w:rsid w:val="003551B5"/>
    <w:rsid w:val="003664A3"/>
    <w:rsid w:val="00377AD0"/>
    <w:rsid w:val="003807BC"/>
    <w:rsid w:val="00382A4A"/>
    <w:rsid w:val="00390365"/>
    <w:rsid w:val="003903F3"/>
    <w:rsid w:val="0039325A"/>
    <w:rsid w:val="003A7BD2"/>
    <w:rsid w:val="003C643F"/>
    <w:rsid w:val="003C6A50"/>
    <w:rsid w:val="003D2C86"/>
    <w:rsid w:val="003E5D1D"/>
    <w:rsid w:val="003E5E86"/>
    <w:rsid w:val="003F0885"/>
    <w:rsid w:val="00403BCE"/>
    <w:rsid w:val="00410F46"/>
    <w:rsid w:val="00413710"/>
    <w:rsid w:val="004162BF"/>
    <w:rsid w:val="004170A7"/>
    <w:rsid w:val="00441236"/>
    <w:rsid w:val="004461FA"/>
    <w:rsid w:val="0047741E"/>
    <w:rsid w:val="004867AF"/>
    <w:rsid w:val="004D714B"/>
    <w:rsid w:val="004F31F4"/>
    <w:rsid w:val="004F6137"/>
    <w:rsid w:val="00525DDD"/>
    <w:rsid w:val="00532466"/>
    <w:rsid w:val="00552DF8"/>
    <w:rsid w:val="0056212D"/>
    <w:rsid w:val="005663D5"/>
    <w:rsid w:val="00571EBD"/>
    <w:rsid w:val="00575914"/>
    <w:rsid w:val="00576700"/>
    <w:rsid w:val="00581FC2"/>
    <w:rsid w:val="0058444F"/>
    <w:rsid w:val="00587B3C"/>
    <w:rsid w:val="00595724"/>
    <w:rsid w:val="00597406"/>
    <w:rsid w:val="005A673C"/>
    <w:rsid w:val="005B5564"/>
    <w:rsid w:val="005B6984"/>
    <w:rsid w:val="005C4100"/>
    <w:rsid w:val="005D44B7"/>
    <w:rsid w:val="005F77CE"/>
    <w:rsid w:val="006048D7"/>
    <w:rsid w:val="006070AA"/>
    <w:rsid w:val="00610236"/>
    <w:rsid w:val="006103CE"/>
    <w:rsid w:val="00623F25"/>
    <w:rsid w:val="006254AE"/>
    <w:rsid w:val="0063257E"/>
    <w:rsid w:val="00640CC9"/>
    <w:rsid w:val="00650A36"/>
    <w:rsid w:val="00663401"/>
    <w:rsid w:val="0069057F"/>
    <w:rsid w:val="00693E7F"/>
    <w:rsid w:val="006A35ED"/>
    <w:rsid w:val="006A6443"/>
    <w:rsid w:val="006B5B3A"/>
    <w:rsid w:val="006C0F8E"/>
    <w:rsid w:val="006C3426"/>
    <w:rsid w:val="006C42E1"/>
    <w:rsid w:val="006C7E0B"/>
    <w:rsid w:val="006D1ADB"/>
    <w:rsid w:val="006D26A4"/>
    <w:rsid w:val="006D3EED"/>
    <w:rsid w:val="006E4322"/>
    <w:rsid w:val="006F2E75"/>
    <w:rsid w:val="006F6FE5"/>
    <w:rsid w:val="006F730A"/>
    <w:rsid w:val="0071055C"/>
    <w:rsid w:val="00740ED7"/>
    <w:rsid w:val="00741668"/>
    <w:rsid w:val="00741DD4"/>
    <w:rsid w:val="007512BD"/>
    <w:rsid w:val="00761AF4"/>
    <w:rsid w:val="007752BA"/>
    <w:rsid w:val="0078270E"/>
    <w:rsid w:val="00786AAF"/>
    <w:rsid w:val="0079434E"/>
    <w:rsid w:val="007A1497"/>
    <w:rsid w:val="007A25ED"/>
    <w:rsid w:val="007A3C3A"/>
    <w:rsid w:val="007B0E1B"/>
    <w:rsid w:val="007B1B15"/>
    <w:rsid w:val="007B388A"/>
    <w:rsid w:val="007D2E1B"/>
    <w:rsid w:val="007D3FBB"/>
    <w:rsid w:val="007D51F6"/>
    <w:rsid w:val="007E55AE"/>
    <w:rsid w:val="007F6D74"/>
    <w:rsid w:val="008167B5"/>
    <w:rsid w:val="00854BB9"/>
    <w:rsid w:val="0086197E"/>
    <w:rsid w:val="00890935"/>
    <w:rsid w:val="00896D57"/>
    <w:rsid w:val="008A4474"/>
    <w:rsid w:val="008B6507"/>
    <w:rsid w:val="008D24C6"/>
    <w:rsid w:val="008D3F9D"/>
    <w:rsid w:val="008D4998"/>
    <w:rsid w:val="008D61E8"/>
    <w:rsid w:val="008E1D84"/>
    <w:rsid w:val="008E387C"/>
    <w:rsid w:val="008E7E3C"/>
    <w:rsid w:val="008F58F9"/>
    <w:rsid w:val="008F5CF7"/>
    <w:rsid w:val="008F5D2E"/>
    <w:rsid w:val="00925003"/>
    <w:rsid w:val="00927EBF"/>
    <w:rsid w:val="00930747"/>
    <w:rsid w:val="00936F5B"/>
    <w:rsid w:val="00944BAD"/>
    <w:rsid w:val="00963F58"/>
    <w:rsid w:val="00964486"/>
    <w:rsid w:val="00971ECD"/>
    <w:rsid w:val="00975CFD"/>
    <w:rsid w:val="00985251"/>
    <w:rsid w:val="0099118E"/>
    <w:rsid w:val="00991EEB"/>
    <w:rsid w:val="009B06BC"/>
    <w:rsid w:val="009B0FC6"/>
    <w:rsid w:val="009D0DBE"/>
    <w:rsid w:val="009D61DB"/>
    <w:rsid w:val="009D6A84"/>
    <w:rsid w:val="009E34FD"/>
    <w:rsid w:val="009E6935"/>
    <w:rsid w:val="009E7A04"/>
    <w:rsid w:val="009F1C22"/>
    <w:rsid w:val="009F6DAF"/>
    <w:rsid w:val="00A02045"/>
    <w:rsid w:val="00A06CD4"/>
    <w:rsid w:val="00A13707"/>
    <w:rsid w:val="00A14D02"/>
    <w:rsid w:val="00A220BC"/>
    <w:rsid w:val="00A31814"/>
    <w:rsid w:val="00A34A6E"/>
    <w:rsid w:val="00A3673B"/>
    <w:rsid w:val="00A52A74"/>
    <w:rsid w:val="00A611FD"/>
    <w:rsid w:val="00A63147"/>
    <w:rsid w:val="00A72494"/>
    <w:rsid w:val="00A82CA8"/>
    <w:rsid w:val="00A85154"/>
    <w:rsid w:val="00A910CD"/>
    <w:rsid w:val="00A93D8A"/>
    <w:rsid w:val="00A95451"/>
    <w:rsid w:val="00AA4FAC"/>
    <w:rsid w:val="00AC1DA5"/>
    <w:rsid w:val="00AD2983"/>
    <w:rsid w:val="00AE0880"/>
    <w:rsid w:val="00AE2524"/>
    <w:rsid w:val="00AF0108"/>
    <w:rsid w:val="00B13D41"/>
    <w:rsid w:val="00B20D42"/>
    <w:rsid w:val="00B229EC"/>
    <w:rsid w:val="00B22A76"/>
    <w:rsid w:val="00B34AA2"/>
    <w:rsid w:val="00B34B47"/>
    <w:rsid w:val="00B36218"/>
    <w:rsid w:val="00B422D5"/>
    <w:rsid w:val="00B52D27"/>
    <w:rsid w:val="00B7166F"/>
    <w:rsid w:val="00B73A96"/>
    <w:rsid w:val="00B75227"/>
    <w:rsid w:val="00B7713B"/>
    <w:rsid w:val="00B8034C"/>
    <w:rsid w:val="00B95081"/>
    <w:rsid w:val="00BA1EB3"/>
    <w:rsid w:val="00BA5B4E"/>
    <w:rsid w:val="00BC411C"/>
    <w:rsid w:val="00BC42FA"/>
    <w:rsid w:val="00BD75C0"/>
    <w:rsid w:val="00BE2E8F"/>
    <w:rsid w:val="00BF2833"/>
    <w:rsid w:val="00BF5B8F"/>
    <w:rsid w:val="00BF5DF5"/>
    <w:rsid w:val="00C00630"/>
    <w:rsid w:val="00C10B64"/>
    <w:rsid w:val="00C26641"/>
    <w:rsid w:val="00C31D07"/>
    <w:rsid w:val="00C351D5"/>
    <w:rsid w:val="00C41448"/>
    <w:rsid w:val="00C4436F"/>
    <w:rsid w:val="00C51E3E"/>
    <w:rsid w:val="00C644EC"/>
    <w:rsid w:val="00C857EE"/>
    <w:rsid w:val="00C87EA3"/>
    <w:rsid w:val="00C91CE7"/>
    <w:rsid w:val="00C93530"/>
    <w:rsid w:val="00C94689"/>
    <w:rsid w:val="00C973C4"/>
    <w:rsid w:val="00C97429"/>
    <w:rsid w:val="00CB09A9"/>
    <w:rsid w:val="00CB3564"/>
    <w:rsid w:val="00CB63FF"/>
    <w:rsid w:val="00CB6C7A"/>
    <w:rsid w:val="00CC0F57"/>
    <w:rsid w:val="00CD5A6D"/>
    <w:rsid w:val="00CE42A1"/>
    <w:rsid w:val="00CF16ED"/>
    <w:rsid w:val="00CF3D06"/>
    <w:rsid w:val="00D03F10"/>
    <w:rsid w:val="00D06E5F"/>
    <w:rsid w:val="00D13A13"/>
    <w:rsid w:val="00D349C7"/>
    <w:rsid w:val="00D46D51"/>
    <w:rsid w:val="00D54EC8"/>
    <w:rsid w:val="00D650FF"/>
    <w:rsid w:val="00D808F9"/>
    <w:rsid w:val="00D82F14"/>
    <w:rsid w:val="00D873A7"/>
    <w:rsid w:val="00DB4FA8"/>
    <w:rsid w:val="00DB7D50"/>
    <w:rsid w:val="00DD7560"/>
    <w:rsid w:val="00DE3BB5"/>
    <w:rsid w:val="00DF21E4"/>
    <w:rsid w:val="00E2409B"/>
    <w:rsid w:val="00E308C5"/>
    <w:rsid w:val="00E31227"/>
    <w:rsid w:val="00E32985"/>
    <w:rsid w:val="00E55124"/>
    <w:rsid w:val="00E61D93"/>
    <w:rsid w:val="00E66A5A"/>
    <w:rsid w:val="00E70F62"/>
    <w:rsid w:val="00E7285A"/>
    <w:rsid w:val="00E73682"/>
    <w:rsid w:val="00E76EA6"/>
    <w:rsid w:val="00E81452"/>
    <w:rsid w:val="00E904DE"/>
    <w:rsid w:val="00E94C06"/>
    <w:rsid w:val="00EA445E"/>
    <w:rsid w:val="00EB1E71"/>
    <w:rsid w:val="00EC65A7"/>
    <w:rsid w:val="00ED1868"/>
    <w:rsid w:val="00ED416B"/>
    <w:rsid w:val="00EF2231"/>
    <w:rsid w:val="00F02FAB"/>
    <w:rsid w:val="00F04327"/>
    <w:rsid w:val="00F17C9A"/>
    <w:rsid w:val="00F36452"/>
    <w:rsid w:val="00F4533F"/>
    <w:rsid w:val="00F5790E"/>
    <w:rsid w:val="00F663B3"/>
    <w:rsid w:val="00F6701A"/>
    <w:rsid w:val="00F70D31"/>
    <w:rsid w:val="00F73FCE"/>
    <w:rsid w:val="00F83A76"/>
    <w:rsid w:val="00F86315"/>
    <w:rsid w:val="00F924DE"/>
    <w:rsid w:val="00F92E8E"/>
    <w:rsid w:val="00F93FB9"/>
    <w:rsid w:val="00FC512D"/>
    <w:rsid w:val="00FD4159"/>
    <w:rsid w:val="00FD7320"/>
    <w:rsid w:val="00FE1E90"/>
    <w:rsid w:val="00FE28E8"/>
    <w:rsid w:val="00FE5944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FC6A"/>
  <w15:docId w15:val="{B83F231F-CD3F-43B5-9FC0-283A01B7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D1A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D1A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A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1868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1868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D18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3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34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4162BF"/>
  </w:style>
  <w:style w:type="character" w:customStyle="1" w:styleId="ng-binding">
    <w:name w:val="ng-binding"/>
    <w:basedOn w:val="Carpredefinitoparagrafo"/>
    <w:rsid w:val="004162BF"/>
  </w:style>
  <w:style w:type="paragraph" w:customStyle="1" w:styleId="registri">
    <w:name w:val="registri"/>
    <w:basedOn w:val="Normale"/>
    <w:rsid w:val="00D46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6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1AD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D1AD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xt-muted">
    <w:name w:val="text-muted"/>
    <w:basedOn w:val="Carpredefinitoparagrafo"/>
    <w:rsid w:val="006D1ADB"/>
  </w:style>
  <w:style w:type="character" w:styleId="Enfasicorsivo">
    <w:name w:val="Emphasis"/>
    <w:basedOn w:val="Carpredefinitoparagrafo"/>
    <w:uiPriority w:val="20"/>
    <w:qFormat/>
    <w:rsid w:val="006D1ADB"/>
    <w:rPr>
      <w:i/>
      <w:iCs/>
    </w:rPr>
  </w:style>
  <w:style w:type="paragraph" w:customStyle="1" w:styleId="text-justify">
    <w:name w:val="text-justify"/>
    <w:basedOn w:val="Normale"/>
    <w:rsid w:val="006D1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D1AD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514">
          <w:marLeft w:val="-315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168">
          <w:marLeft w:val="-315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07792">
          <w:marLeft w:val="-315"/>
          <w:marRight w:val="-33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erno.it/sites/governo.it/files/77938-1002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C9738D90B1D448AAF17141462F1F3" ma:contentTypeVersion="9" ma:contentTypeDescription="Creare un nuovo documento." ma:contentTypeScope="" ma:versionID="69cce4c8545d5686202280552e3291a7">
  <xsd:schema xmlns:xsd="http://www.w3.org/2001/XMLSchema" xmlns:xs="http://www.w3.org/2001/XMLSchema" xmlns:p="http://schemas.microsoft.com/office/2006/metadata/properties" xmlns:ns3="f5206df9-a712-4bc1-9393-89c95a88d08f" targetNamespace="http://schemas.microsoft.com/office/2006/metadata/properties" ma:root="true" ma:fieldsID="d16159cf23dabd713637371be1efde2d" ns3:_="">
    <xsd:import namespace="f5206df9-a712-4bc1-9393-89c95a88d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6df9-a712-4bc1-9393-89c95a88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D0AC3-38B8-427C-B96E-945BC013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06df9-a712-4bc1-9393-89c95a88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C865C-962A-4E96-8A12-A4FBB161F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E9B5F-6494-4B13-9B11-6582E9856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Gaetana</dc:creator>
  <cp:keywords/>
  <dc:description/>
  <cp:lastModifiedBy>Natale Gaetana</cp:lastModifiedBy>
  <cp:revision>7</cp:revision>
  <dcterms:created xsi:type="dcterms:W3CDTF">2022-07-22T13:58:00Z</dcterms:created>
  <dcterms:modified xsi:type="dcterms:W3CDTF">2022-07-22T14:04:00Z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0x01010010AC9738D90B1D448AAF17141462F1F3</vt:lpwstr>
  </property>
</Properties>
</file>